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jc w:val="center"/>
        <w:rPr>
          <w:rFonts w:hint="eastAsia" w:ascii="仿宋" w:hAnsi="仿宋" w:eastAsia="仿宋" w:cs="仿宋"/>
          <w:i w:val="0"/>
          <w:iCs w:val="0"/>
          <w:caps w:val="0"/>
          <w:color w:val="333333"/>
          <w:spacing w:val="0"/>
          <w:sz w:val="28"/>
          <w:szCs w:val="28"/>
          <w:shd w:val="clear" w:fill="FFFFFF"/>
          <w:vertAlign w:val="baseline"/>
          <w:lang w:val="en-US" w:eastAsia="zh-CN"/>
        </w:rPr>
      </w:pPr>
      <w:r>
        <w:rPr>
          <w:rFonts w:hint="eastAsia" w:ascii="仿宋" w:hAnsi="仿宋" w:eastAsia="仿宋" w:cs="仿宋"/>
          <w:i w:val="0"/>
          <w:iCs w:val="0"/>
          <w:caps w:val="0"/>
          <w:color w:val="333333"/>
          <w:spacing w:val="0"/>
          <w:sz w:val="28"/>
          <w:szCs w:val="28"/>
          <w:shd w:val="clear" w:fill="FFFFFF"/>
          <w:vertAlign w:val="baseline"/>
          <w:lang w:val="en-US" w:eastAsia="zh-CN"/>
        </w:rPr>
        <w:t>天津工业大学</w:t>
      </w:r>
      <w:r>
        <w:rPr>
          <w:rFonts w:hint="eastAsia" w:ascii="仿宋" w:hAnsi="仿宋" w:eastAsia="仿宋" w:cs="仿宋"/>
          <w:i w:val="0"/>
          <w:iCs w:val="0"/>
          <w:caps w:val="0"/>
          <w:color w:val="333333"/>
          <w:spacing w:val="0"/>
          <w:sz w:val="28"/>
          <w:szCs w:val="28"/>
          <w:shd w:val="clear" w:fill="FFFFFF"/>
          <w:vertAlign w:val="baseline"/>
        </w:rPr>
        <w:t>学生公寓自助雪糕智能柜放置销售权</w:t>
      </w:r>
      <w:r>
        <w:rPr>
          <w:rFonts w:hint="eastAsia" w:ascii="仿宋" w:hAnsi="仿宋" w:eastAsia="仿宋" w:cs="仿宋"/>
          <w:i w:val="0"/>
          <w:iCs w:val="0"/>
          <w:caps w:val="0"/>
          <w:color w:val="333333"/>
          <w:spacing w:val="0"/>
          <w:sz w:val="28"/>
          <w:szCs w:val="28"/>
          <w:shd w:val="clear" w:fill="FFFFFF"/>
          <w:vertAlign w:val="baseline"/>
          <w:lang w:val="en-US" w:eastAsia="zh-CN"/>
        </w:rPr>
        <w:t>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jc w:val="center"/>
        <w:rPr>
          <w:rFonts w:hint="default" w:ascii="仿宋" w:hAnsi="仿宋" w:eastAsia="仿宋" w:cs="仿宋"/>
          <w:i w:val="0"/>
          <w:iCs w:val="0"/>
          <w:caps w:val="0"/>
          <w:color w:val="333333"/>
          <w:spacing w:val="0"/>
          <w:sz w:val="28"/>
          <w:szCs w:val="28"/>
          <w:shd w:val="clear" w:fill="FFFFFF"/>
          <w:lang w:val="en-US" w:eastAsia="zh-CN"/>
        </w:rPr>
      </w:pPr>
      <w:r>
        <w:rPr>
          <w:rFonts w:hint="eastAsia" w:ascii="仿宋" w:hAnsi="仿宋" w:eastAsia="仿宋" w:cs="仿宋"/>
          <w:i w:val="0"/>
          <w:iCs w:val="0"/>
          <w:caps w:val="0"/>
          <w:color w:val="333333"/>
          <w:spacing w:val="0"/>
          <w:sz w:val="28"/>
          <w:szCs w:val="28"/>
          <w:shd w:val="clear" w:fill="FFFFFF"/>
          <w:vertAlign w:val="baseline"/>
          <w:lang w:val="en-US" w:eastAsia="zh-CN"/>
        </w:rPr>
        <w:t>竞争性磋商文件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lang w:val="en-US" w:eastAsia="zh-CN"/>
        </w:rPr>
        <w:t>天津工业大学</w:t>
      </w:r>
      <w:r>
        <w:rPr>
          <w:rFonts w:ascii="仿宋" w:hAnsi="仿宋" w:eastAsia="仿宋" w:cs="仿宋"/>
          <w:i w:val="0"/>
          <w:iCs w:val="0"/>
          <w:caps w:val="0"/>
          <w:color w:val="333333"/>
          <w:spacing w:val="0"/>
          <w:sz w:val="28"/>
          <w:szCs w:val="28"/>
          <w:shd w:val="clear" w:fill="FFFFFF"/>
        </w:rPr>
        <w:t>对以下项目进行公开招商。意向合作方参与本次公开招商，视为同意本公告中的所有条款。具体情况及要求如下：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333333"/>
          <w:spacing w:val="0"/>
          <w:sz w:val="21"/>
          <w:szCs w:val="21"/>
        </w:rPr>
      </w:pPr>
      <w:r>
        <w:rPr>
          <w:rStyle w:val="6"/>
          <w:rFonts w:hint="eastAsia" w:ascii="仿宋" w:hAnsi="仿宋" w:eastAsia="仿宋" w:cs="仿宋"/>
          <w:i w:val="0"/>
          <w:iCs w:val="0"/>
          <w:caps w:val="0"/>
          <w:color w:val="333333"/>
          <w:spacing w:val="0"/>
          <w:sz w:val="28"/>
          <w:szCs w:val="28"/>
          <w:shd w:val="clear" w:fill="FFFFFF"/>
        </w:rPr>
        <w:t>一、基本情况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vertAlign w:val="baseline"/>
        </w:rPr>
        <w:t>1.招商项目：</w:t>
      </w:r>
      <w:r>
        <w:rPr>
          <w:rFonts w:hint="eastAsia" w:ascii="仿宋" w:hAnsi="仿宋" w:eastAsia="仿宋" w:cs="仿宋"/>
          <w:i w:val="0"/>
          <w:iCs w:val="0"/>
          <w:caps w:val="0"/>
          <w:color w:val="333333"/>
          <w:spacing w:val="0"/>
          <w:sz w:val="28"/>
          <w:szCs w:val="28"/>
          <w:shd w:val="clear" w:fill="FFFFFF"/>
          <w:vertAlign w:val="baseline"/>
          <w:lang w:val="en-US" w:eastAsia="zh-CN"/>
        </w:rPr>
        <w:t>天津工业大学</w:t>
      </w:r>
      <w:r>
        <w:rPr>
          <w:rFonts w:hint="eastAsia" w:ascii="仿宋" w:hAnsi="仿宋" w:eastAsia="仿宋" w:cs="仿宋"/>
          <w:i w:val="0"/>
          <w:iCs w:val="0"/>
          <w:caps w:val="0"/>
          <w:color w:val="333333"/>
          <w:spacing w:val="0"/>
          <w:sz w:val="28"/>
          <w:szCs w:val="28"/>
          <w:shd w:val="clear" w:fill="FFFFFF"/>
          <w:vertAlign w:val="baseline"/>
        </w:rPr>
        <w:t>学生公寓自助雪糕智能柜放置销售权，用于满足校内师生需求。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textAlignment w:val="baseline"/>
        <w:rPr>
          <w:rFonts w:hint="eastAsia" w:ascii="微软雅黑" w:hAnsi="微软雅黑" w:eastAsia="仿宋" w:cs="微软雅黑"/>
          <w:i w:val="0"/>
          <w:iCs w:val="0"/>
          <w:caps w:val="0"/>
          <w:color w:val="333333"/>
          <w:spacing w:val="0"/>
          <w:sz w:val="21"/>
          <w:szCs w:val="21"/>
          <w:lang w:eastAsia="zh-CN"/>
        </w:rPr>
      </w:pPr>
      <w:r>
        <w:rPr>
          <w:rFonts w:hint="eastAsia" w:ascii="仿宋" w:hAnsi="仿宋" w:eastAsia="仿宋" w:cs="仿宋"/>
          <w:i w:val="0"/>
          <w:iCs w:val="0"/>
          <w:caps w:val="0"/>
          <w:color w:val="333333"/>
          <w:spacing w:val="0"/>
          <w:sz w:val="28"/>
          <w:szCs w:val="28"/>
          <w:shd w:val="clear" w:fill="FFFFFF"/>
          <w:vertAlign w:val="baseline"/>
        </w:rPr>
        <w:t>2.自助雪糕智能柜放置数量：</w:t>
      </w:r>
      <w:r>
        <w:rPr>
          <w:rFonts w:hint="eastAsia" w:ascii="仿宋" w:hAnsi="仿宋" w:eastAsia="仿宋" w:cs="仿宋"/>
          <w:i w:val="0"/>
          <w:iCs w:val="0"/>
          <w:caps w:val="0"/>
          <w:color w:val="333333"/>
          <w:spacing w:val="0"/>
          <w:sz w:val="28"/>
          <w:szCs w:val="28"/>
          <w:shd w:val="clear" w:fill="FFFFFF"/>
          <w:vertAlign w:val="baseline"/>
          <w:lang w:val="en-US" w:eastAsia="zh-CN"/>
        </w:rPr>
        <w:t>20</w:t>
      </w:r>
      <w:r>
        <w:rPr>
          <w:rFonts w:hint="eastAsia" w:ascii="仿宋" w:hAnsi="仿宋" w:eastAsia="仿宋" w:cs="仿宋"/>
          <w:i w:val="0"/>
          <w:iCs w:val="0"/>
          <w:caps w:val="0"/>
          <w:color w:val="333333"/>
          <w:spacing w:val="0"/>
          <w:sz w:val="28"/>
          <w:szCs w:val="28"/>
          <w:shd w:val="clear" w:fill="FFFFFF"/>
          <w:vertAlign w:val="baseline"/>
        </w:rPr>
        <w:t>台。</w:t>
      </w:r>
      <w:r>
        <w:rPr>
          <w:rFonts w:hint="eastAsia" w:ascii="仿宋" w:hAnsi="仿宋" w:eastAsia="仿宋" w:cs="仿宋"/>
          <w:i w:val="0"/>
          <w:iCs w:val="0"/>
          <w:caps w:val="0"/>
          <w:color w:val="333333"/>
          <w:spacing w:val="0"/>
          <w:sz w:val="28"/>
          <w:szCs w:val="28"/>
          <w:shd w:val="clear" w:fill="FFFFFF"/>
          <w:vertAlign w:val="baseline"/>
          <w:lang w:eastAsia="zh-CN"/>
        </w:rPr>
        <w:t>（</w:t>
      </w:r>
      <w:r>
        <w:rPr>
          <w:rFonts w:hint="eastAsia" w:ascii="仿宋" w:hAnsi="仿宋" w:eastAsia="仿宋" w:cs="仿宋"/>
          <w:i w:val="0"/>
          <w:iCs w:val="0"/>
          <w:caps w:val="0"/>
          <w:color w:val="333333"/>
          <w:spacing w:val="0"/>
          <w:sz w:val="28"/>
          <w:szCs w:val="28"/>
          <w:shd w:val="clear" w:fill="FFFFFF"/>
          <w:vertAlign w:val="baseline"/>
          <w:lang w:val="en-US" w:eastAsia="zh-CN"/>
        </w:rPr>
        <w:t>最终以合同确定数量为准</w:t>
      </w:r>
      <w:r>
        <w:rPr>
          <w:rFonts w:hint="eastAsia" w:ascii="仿宋" w:hAnsi="仿宋" w:eastAsia="仿宋" w:cs="仿宋"/>
          <w:i w:val="0"/>
          <w:iCs w:val="0"/>
          <w:caps w:val="0"/>
          <w:color w:val="333333"/>
          <w:spacing w:val="0"/>
          <w:sz w:val="28"/>
          <w:szCs w:val="28"/>
          <w:shd w:val="clear" w:fill="FFFFFF"/>
          <w:vertAlign w:val="baseline"/>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vertAlign w:val="baseline"/>
        </w:rPr>
        <w:t>3.放置区域：学生公寓公共区域（不得占用消防通道），最终位置以后勤保障部指定为准。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仿宋" w:hAnsi="仿宋" w:eastAsia="仿宋" w:cs="仿宋"/>
          <w:i w:val="0"/>
          <w:iCs w:val="0"/>
          <w:caps w:val="0"/>
          <w:color w:val="333333"/>
          <w:spacing w:val="0"/>
          <w:sz w:val="28"/>
          <w:szCs w:val="28"/>
          <w:shd w:val="clear" w:fill="FFFFFF"/>
          <w:vertAlign w:val="baseline"/>
          <w:lang w:eastAsia="zh-CN"/>
        </w:rPr>
      </w:pPr>
      <w:r>
        <w:rPr>
          <w:rFonts w:hint="eastAsia" w:ascii="仿宋" w:hAnsi="仿宋" w:eastAsia="仿宋" w:cs="仿宋"/>
          <w:i w:val="0"/>
          <w:iCs w:val="0"/>
          <w:caps w:val="0"/>
          <w:color w:val="333333"/>
          <w:spacing w:val="0"/>
          <w:sz w:val="28"/>
          <w:szCs w:val="28"/>
          <w:shd w:val="clear" w:fill="FFFFFF"/>
        </w:rPr>
        <w:t>4.放置期限：</w:t>
      </w:r>
      <w:r>
        <w:rPr>
          <w:rFonts w:hint="eastAsia" w:ascii="仿宋" w:hAnsi="仿宋" w:eastAsia="仿宋" w:cs="仿宋"/>
          <w:i w:val="0"/>
          <w:iCs w:val="0"/>
          <w:caps w:val="0"/>
          <w:color w:val="333333"/>
          <w:spacing w:val="0"/>
          <w:sz w:val="28"/>
          <w:szCs w:val="28"/>
          <w:shd w:val="clear" w:fill="FFFFFF"/>
          <w:lang w:val="en-US" w:eastAsia="zh-CN"/>
        </w:rPr>
        <w:t>36</w:t>
      </w:r>
      <w:r>
        <w:rPr>
          <w:rFonts w:hint="eastAsia" w:ascii="仿宋" w:hAnsi="仿宋" w:eastAsia="仿宋" w:cs="仿宋"/>
          <w:i w:val="0"/>
          <w:iCs w:val="0"/>
          <w:caps w:val="0"/>
          <w:color w:val="333333"/>
          <w:spacing w:val="0"/>
          <w:sz w:val="28"/>
          <w:szCs w:val="28"/>
          <w:shd w:val="clear" w:fill="FFFFFF"/>
        </w:rPr>
        <w:t>个月，起始日期以场地实际移交日期为准。</w:t>
      </w:r>
      <w:r>
        <w:rPr>
          <w:rFonts w:hint="eastAsia" w:ascii="仿宋" w:hAnsi="仿宋" w:eastAsia="仿宋" w:cs="仿宋"/>
          <w:i w:val="0"/>
          <w:iCs w:val="0"/>
          <w:caps w:val="0"/>
          <w:color w:val="333333"/>
          <w:spacing w:val="0"/>
          <w:sz w:val="28"/>
          <w:szCs w:val="28"/>
          <w:shd w:val="clear" w:fill="FFFFFF"/>
          <w:vertAlign w:val="baseline"/>
          <w:lang w:eastAsia="zh-CN"/>
        </w:rPr>
        <w:t>（</w:t>
      </w:r>
      <w:r>
        <w:rPr>
          <w:rFonts w:hint="eastAsia" w:ascii="仿宋" w:hAnsi="仿宋" w:eastAsia="仿宋" w:cs="仿宋"/>
          <w:i w:val="0"/>
          <w:iCs w:val="0"/>
          <w:caps w:val="0"/>
          <w:color w:val="333333"/>
          <w:spacing w:val="0"/>
          <w:sz w:val="28"/>
          <w:szCs w:val="28"/>
          <w:shd w:val="clear" w:fill="FFFFFF"/>
          <w:vertAlign w:val="baseline"/>
          <w:lang w:val="en-US" w:eastAsia="zh-CN"/>
        </w:rPr>
        <w:t>最终以合同确定期限为准</w:t>
      </w:r>
      <w:r>
        <w:rPr>
          <w:rFonts w:hint="eastAsia" w:ascii="仿宋" w:hAnsi="仿宋" w:eastAsia="仿宋" w:cs="仿宋"/>
          <w:i w:val="0"/>
          <w:iCs w:val="0"/>
          <w:caps w:val="0"/>
          <w:color w:val="333333"/>
          <w:spacing w:val="0"/>
          <w:sz w:val="28"/>
          <w:szCs w:val="28"/>
          <w:shd w:val="clear" w:fill="FFFFFF"/>
          <w:vertAlign w:val="baseline"/>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仿宋" w:hAnsi="仿宋" w:eastAsia="仿宋" w:cs="仿宋"/>
          <w:i w:val="0"/>
          <w:iCs w:val="0"/>
          <w:caps w:val="0"/>
          <w:color w:val="333333"/>
          <w:spacing w:val="0"/>
          <w:sz w:val="28"/>
          <w:szCs w:val="28"/>
          <w:shd w:val="clear" w:fill="FFFFFF"/>
          <w:lang w:eastAsia="zh-CN"/>
        </w:rPr>
      </w:pPr>
      <w:r>
        <w:rPr>
          <w:rFonts w:hint="eastAsia" w:ascii="仿宋" w:hAnsi="仿宋" w:eastAsia="仿宋" w:cs="仿宋"/>
          <w:i w:val="0"/>
          <w:iCs w:val="0"/>
          <w:caps w:val="0"/>
          <w:color w:val="333333"/>
          <w:spacing w:val="0"/>
          <w:sz w:val="28"/>
          <w:szCs w:val="28"/>
          <w:shd w:val="clear" w:fill="FFFFFF"/>
          <w:vertAlign w:val="baseline"/>
        </w:rPr>
        <w:t>★</w:t>
      </w:r>
      <w:r>
        <w:rPr>
          <w:rFonts w:hint="eastAsia" w:ascii="仿宋" w:hAnsi="仿宋" w:eastAsia="仿宋" w:cs="仿宋"/>
          <w:i w:val="0"/>
          <w:iCs w:val="0"/>
          <w:caps w:val="0"/>
          <w:color w:val="333333"/>
          <w:spacing w:val="0"/>
          <w:sz w:val="28"/>
          <w:szCs w:val="28"/>
          <w:shd w:val="clear" w:fill="FFFFFF"/>
          <w:vertAlign w:val="baseline"/>
          <w:lang w:val="en-US" w:eastAsia="zh-CN"/>
        </w:rPr>
        <w:t>5</w:t>
      </w:r>
      <w:r>
        <w:rPr>
          <w:rFonts w:hint="eastAsia" w:ascii="仿宋" w:hAnsi="仿宋" w:eastAsia="仿宋" w:cs="仿宋"/>
          <w:i w:val="0"/>
          <w:iCs w:val="0"/>
          <w:caps w:val="0"/>
          <w:color w:val="333333"/>
          <w:spacing w:val="0"/>
          <w:sz w:val="28"/>
          <w:szCs w:val="28"/>
          <w:shd w:val="clear" w:fill="FFFFFF"/>
          <w:vertAlign w:val="baseline"/>
        </w:rPr>
        <w:t>.</w:t>
      </w:r>
      <w:r>
        <w:rPr>
          <w:rFonts w:hint="eastAsia" w:ascii="仿宋" w:hAnsi="仿宋" w:eastAsia="仿宋" w:cs="仿宋"/>
          <w:i w:val="0"/>
          <w:iCs w:val="0"/>
          <w:caps w:val="0"/>
          <w:color w:val="333333"/>
          <w:spacing w:val="0"/>
          <w:sz w:val="28"/>
          <w:szCs w:val="28"/>
          <w:shd w:val="clear" w:fill="FFFFFF"/>
        </w:rPr>
        <w:t>场地</w:t>
      </w:r>
      <w:r>
        <w:rPr>
          <w:rFonts w:hint="eastAsia" w:ascii="仿宋" w:hAnsi="仿宋" w:eastAsia="仿宋" w:cs="仿宋"/>
          <w:i w:val="0"/>
          <w:iCs w:val="0"/>
          <w:caps w:val="0"/>
          <w:color w:val="333333"/>
          <w:spacing w:val="0"/>
          <w:sz w:val="28"/>
          <w:szCs w:val="28"/>
          <w:shd w:val="clear" w:fill="FFFFFF"/>
          <w:lang w:eastAsia="zh-CN"/>
        </w:rPr>
        <w:t>费</w:t>
      </w:r>
      <w:r>
        <w:rPr>
          <w:rFonts w:hint="eastAsia" w:ascii="仿宋" w:hAnsi="仿宋" w:eastAsia="仿宋" w:cs="仿宋"/>
          <w:i w:val="0"/>
          <w:iCs w:val="0"/>
          <w:caps w:val="0"/>
          <w:color w:val="333333"/>
          <w:spacing w:val="0"/>
          <w:sz w:val="28"/>
          <w:szCs w:val="28"/>
          <w:shd w:val="clear" w:fill="FFFFFF"/>
        </w:rPr>
        <w:t>和履约保证金：合作方须向采购方定额缴纳场地费，每台</w:t>
      </w:r>
      <w:r>
        <w:rPr>
          <w:rFonts w:hint="eastAsia" w:ascii="仿宋" w:hAnsi="仿宋" w:eastAsia="仿宋" w:cs="仿宋"/>
          <w:i w:val="0"/>
          <w:iCs w:val="0"/>
          <w:caps w:val="0"/>
          <w:color w:val="333333"/>
          <w:spacing w:val="0"/>
          <w:sz w:val="28"/>
          <w:szCs w:val="28"/>
          <w:shd w:val="clear" w:fill="FFFFFF"/>
          <w:vertAlign w:val="baseline"/>
        </w:rPr>
        <w:t>自助雪糕智能</w:t>
      </w:r>
      <w:r>
        <w:rPr>
          <w:rFonts w:hint="eastAsia" w:ascii="仿宋" w:hAnsi="仿宋" w:eastAsia="仿宋" w:cs="仿宋"/>
          <w:i w:val="0"/>
          <w:iCs w:val="0"/>
          <w:caps w:val="0"/>
          <w:color w:val="333333"/>
          <w:spacing w:val="0"/>
          <w:sz w:val="28"/>
          <w:szCs w:val="28"/>
          <w:shd w:val="clear" w:fill="FFFFFF"/>
          <w:vertAlign w:val="baseline"/>
          <w:lang w:val="en-US" w:eastAsia="zh-CN"/>
        </w:rPr>
        <w:t>场地费</w:t>
      </w:r>
      <w:r>
        <w:rPr>
          <w:rFonts w:hint="eastAsia" w:ascii="仿宋" w:hAnsi="仿宋" w:eastAsia="仿宋" w:cs="仿宋"/>
          <w:i w:val="0"/>
          <w:iCs w:val="0"/>
          <w:caps w:val="0"/>
          <w:color w:val="333333"/>
          <w:spacing w:val="0"/>
          <w:sz w:val="28"/>
          <w:szCs w:val="28"/>
          <w:shd w:val="clear" w:fill="FFFFFF"/>
          <w:lang w:val="en-US" w:eastAsia="zh-CN"/>
        </w:rPr>
        <w:t>不低于2000</w:t>
      </w:r>
      <w:r>
        <w:rPr>
          <w:rFonts w:hint="eastAsia" w:ascii="仿宋" w:hAnsi="仿宋" w:eastAsia="仿宋" w:cs="仿宋"/>
          <w:i w:val="0"/>
          <w:iCs w:val="0"/>
          <w:caps w:val="0"/>
          <w:color w:val="333333"/>
          <w:spacing w:val="0"/>
          <w:sz w:val="28"/>
          <w:szCs w:val="28"/>
          <w:shd w:val="clear" w:fill="FFFFFF"/>
        </w:rPr>
        <w:t>元/年；在签订合同前，中标合作方须向采购方缴纳履约保证金</w:t>
      </w:r>
      <w:r>
        <w:rPr>
          <w:rFonts w:hint="eastAsia" w:ascii="仿宋" w:hAnsi="仿宋" w:eastAsia="仿宋" w:cs="仿宋"/>
          <w:i w:val="0"/>
          <w:iCs w:val="0"/>
          <w:caps w:val="0"/>
          <w:color w:val="333333"/>
          <w:spacing w:val="0"/>
          <w:sz w:val="28"/>
          <w:szCs w:val="28"/>
          <w:shd w:val="clear" w:fill="FFFFFF"/>
          <w:lang w:val="en-US" w:eastAsia="zh-CN"/>
        </w:rPr>
        <w:t>1</w:t>
      </w:r>
      <w:r>
        <w:rPr>
          <w:rFonts w:hint="eastAsia" w:ascii="仿宋" w:hAnsi="仿宋" w:eastAsia="仿宋" w:cs="仿宋"/>
          <w:i w:val="0"/>
          <w:iCs w:val="0"/>
          <w:caps w:val="0"/>
          <w:color w:val="333333"/>
          <w:spacing w:val="0"/>
          <w:sz w:val="28"/>
          <w:szCs w:val="28"/>
          <w:shd w:val="clear" w:fill="FFFFFF"/>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vertAlign w:val="baseline"/>
          <w:lang w:val="en-US" w:eastAsia="zh-CN"/>
        </w:rPr>
        <w:t>6</w:t>
      </w:r>
      <w:r>
        <w:rPr>
          <w:rFonts w:hint="eastAsia" w:ascii="仿宋" w:hAnsi="仿宋" w:eastAsia="仿宋" w:cs="仿宋"/>
          <w:i w:val="0"/>
          <w:iCs w:val="0"/>
          <w:caps w:val="0"/>
          <w:color w:val="333333"/>
          <w:spacing w:val="0"/>
          <w:sz w:val="28"/>
          <w:szCs w:val="28"/>
          <w:shd w:val="clear" w:fill="FFFFFF"/>
          <w:vertAlign w:val="baseline"/>
        </w:rPr>
        <w:t>.该项目由</w:t>
      </w:r>
      <w:r>
        <w:rPr>
          <w:rFonts w:hint="eastAsia" w:ascii="仿宋" w:hAnsi="仿宋" w:eastAsia="仿宋" w:cs="仿宋"/>
          <w:i w:val="0"/>
          <w:iCs w:val="0"/>
          <w:caps w:val="0"/>
          <w:color w:val="333333"/>
          <w:spacing w:val="0"/>
          <w:sz w:val="28"/>
          <w:szCs w:val="28"/>
          <w:shd w:val="clear" w:fill="FFFFFF"/>
          <w:vertAlign w:val="baseline"/>
          <w:lang w:val="en-US" w:eastAsia="zh-CN"/>
        </w:rPr>
        <w:t>天津工业</w:t>
      </w:r>
      <w:r>
        <w:rPr>
          <w:rFonts w:hint="eastAsia" w:ascii="仿宋" w:hAnsi="仿宋" w:eastAsia="仿宋" w:cs="仿宋"/>
          <w:i w:val="0"/>
          <w:iCs w:val="0"/>
          <w:caps w:val="0"/>
          <w:color w:val="333333"/>
          <w:spacing w:val="0"/>
          <w:sz w:val="28"/>
          <w:szCs w:val="28"/>
          <w:shd w:val="clear" w:fill="FFFFFF"/>
          <w:vertAlign w:val="baseline"/>
        </w:rPr>
        <w:t>大学</w:t>
      </w:r>
      <w:r>
        <w:rPr>
          <w:rFonts w:hint="eastAsia" w:ascii="仿宋" w:hAnsi="仿宋" w:eastAsia="仿宋" w:cs="仿宋"/>
          <w:i w:val="0"/>
          <w:iCs w:val="0"/>
          <w:caps w:val="0"/>
          <w:color w:val="333333"/>
          <w:spacing w:val="0"/>
          <w:sz w:val="28"/>
          <w:szCs w:val="28"/>
          <w:shd w:val="clear" w:fill="FFFFFF"/>
          <w:vertAlign w:val="baseline"/>
          <w:lang w:val="en-US" w:eastAsia="zh-CN"/>
        </w:rPr>
        <w:t>学生处</w:t>
      </w:r>
      <w:r>
        <w:rPr>
          <w:rFonts w:hint="eastAsia" w:ascii="仿宋" w:hAnsi="仿宋" w:eastAsia="仿宋" w:cs="仿宋"/>
          <w:i w:val="0"/>
          <w:iCs w:val="0"/>
          <w:caps w:val="0"/>
          <w:color w:val="333333"/>
          <w:spacing w:val="0"/>
          <w:sz w:val="28"/>
          <w:szCs w:val="28"/>
          <w:shd w:val="clear" w:fill="FFFFFF"/>
          <w:vertAlign w:val="baseline"/>
        </w:rPr>
        <w:t>进行日常管理和监管。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333333"/>
          <w:spacing w:val="0"/>
          <w:sz w:val="21"/>
          <w:szCs w:val="21"/>
        </w:rPr>
      </w:pPr>
      <w:r>
        <w:rPr>
          <w:rStyle w:val="6"/>
          <w:rFonts w:hint="eastAsia" w:ascii="仿宋" w:hAnsi="仿宋" w:eastAsia="仿宋" w:cs="仿宋"/>
          <w:i w:val="0"/>
          <w:iCs w:val="0"/>
          <w:caps w:val="0"/>
          <w:color w:val="333333"/>
          <w:spacing w:val="0"/>
          <w:sz w:val="28"/>
          <w:szCs w:val="28"/>
          <w:shd w:val="clear" w:fill="FFFFFF"/>
        </w:rPr>
        <w:t>二、合作方的基本要求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vertAlign w:val="baseline"/>
        </w:rPr>
        <w:t>1.具有企业法人身份。本项目不接受自然人参与竞争。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vertAlign w:val="baseline"/>
        </w:rPr>
        <w:t>2.具有有效期内的食品经营许可证。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vertAlign w:val="baseline"/>
        </w:rPr>
        <w:t>3.企业营业执照上的经营范围包括本项目涉及领域。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vertAlign w:val="baseline"/>
        </w:rPr>
        <w:t>4.具有独立承担民事责任的能力；具有良好的商业信誉和健全的财务会计制度；依法缴纳税收和社会保障资金。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vertAlign w:val="baseline"/>
        </w:rPr>
        <w:t>5.参加本次竞争活动前三年内，在经营活动中没有违法记录；近3年内不得被列入失信执行人、税收违法案件当事人名单、政府采购违法失信行为名单记录；无任何涉及食品卫生、消防安全、劳务纠纷等方面的不良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vertAlign w:val="baseline"/>
        </w:rPr>
        <w:t>6.具有实施本项目，履行提供智能自助设备及配套服务项目所必需的设备和专业技术能力；遵守中华人民共和国相关法律、法规和条例及</w:t>
      </w:r>
      <w:r>
        <w:rPr>
          <w:rFonts w:hint="eastAsia" w:ascii="仿宋" w:hAnsi="仿宋" w:eastAsia="仿宋" w:cs="仿宋"/>
          <w:i w:val="0"/>
          <w:iCs w:val="0"/>
          <w:caps w:val="0"/>
          <w:color w:val="333333"/>
          <w:spacing w:val="0"/>
          <w:sz w:val="28"/>
          <w:szCs w:val="28"/>
          <w:shd w:val="clear" w:fill="FFFFFF"/>
          <w:vertAlign w:val="baseline"/>
          <w:lang w:val="en-US" w:eastAsia="zh-CN"/>
        </w:rPr>
        <w:t>天津工业大学</w:t>
      </w:r>
      <w:r>
        <w:rPr>
          <w:rFonts w:hint="eastAsia" w:ascii="仿宋" w:hAnsi="仿宋" w:eastAsia="仿宋" w:cs="仿宋"/>
          <w:i w:val="0"/>
          <w:iCs w:val="0"/>
          <w:caps w:val="0"/>
          <w:color w:val="333333"/>
          <w:spacing w:val="0"/>
          <w:sz w:val="28"/>
          <w:szCs w:val="28"/>
          <w:shd w:val="clear" w:fill="FFFFFF"/>
          <w:vertAlign w:val="baseline"/>
        </w:rPr>
        <w:t>相关管理规定。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vertAlign w:val="baseline"/>
        </w:rPr>
        <w:t>合作方对以上基本要求中任何一项达不到要求的均按无效参与处理。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333333"/>
          <w:spacing w:val="0"/>
          <w:sz w:val="21"/>
          <w:szCs w:val="21"/>
        </w:rPr>
      </w:pPr>
      <w:r>
        <w:rPr>
          <w:rStyle w:val="6"/>
          <w:rFonts w:hint="eastAsia" w:ascii="仿宋" w:hAnsi="仿宋" w:eastAsia="仿宋" w:cs="仿宋"/>
          <w:i w:val="0"/>
          <w:iCs w:val="0"/>
          <w:caps w:val="0"/>
          <w:color w:val="333333"/>
          <w:spacing w:val="0"/>
          <w:sz w:val="28"/>
          <w:szCs w:val="28"/>
          <w:shd w:val="clear" w:fill="FFFFFF"/>
        </w:rPr>
        <w:t>三、放置期内经营管理要求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Style w:val="6"/>
          <w:rFonts w:hint="eastAsia" w:ascii="仿宋" w:hAnsi="仿宋" w:eastAsia="仿宋" w:cs="仿宋"/>
          <w:i w:val="0"/>
          <w:iCs w:val="0"/>
          <w:caps w:val="0"/>
          <w:color w:val="333333"/>
          <w:spacing w:val="0"/>
          <w:sz w:val="28"/>
          <w:szCs w:val="28"/>
          <w:shd w:val="clear" w:fill="FFFFFF"/>
          <w:vertAlign w:val="baseline"/>
        </w:rPr>
        <w:t>（一）对放置自助设备的要求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vertAlign w:val="baseline"/>
        </w:rPr>
        <w:t>1.所放置的自助设备具有质量检验报告。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vertAlign w:val="baseline"/>
        </w:rPr>
        <w:t>2.所放置的自助设备符合国家相关标准。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vertAlign w:val="baseline"/>
        </w:rPr>
        <w:t>3.所放置的自助设备产权清晰，未被抵押、担保、司法冻结。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i w:val="0"/>
          <w:iCs w:val="0"/>
          <w:caps w:val="0"/>
          <w:color w:val="333333"/>
          <w:spacing w:val="0"/>
          <w:sz w:val="21"/>
          <w:szCs w:val="21"/>
        </w:rPr>
      </w:pPr>
      <w:r>
        <w:rPr>
          <w:rStyle w:val="6"/>
          <w:rFonts w:hint="eastAsia" w:ascii="仿宋" w:hAnsi="仿宋" w:eastAsia="仿宋" w:cs="仿宋"/>
          <w:i w:val="0"/>
          <w:iCs w:val="0"/>
          <w:caps w:val="0"/>
          <w:color w:val="333333"/>
          <w:spacing w:val="15"/>
          <w:sz w:val="28"/>
          <w:szCs w:val="28"/>
          <w:shd w:val="clear" w:fill="FFFFFF"/>
        </w:rPr>
        <w:t>（二）对销售商品的要求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vertAlign w:val="baseline"/>
        </w:rPr>
        <w:t>1.只能销售预包装的雪糕、冰激凌类商品，不得销售其他非预包装食品。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vertAlign w:val="baseline"/>
        </w:rPr>
        <w:t>2.所销售的雪糕、冰激凌内商品要求包含至少3个以上一线主流品牌产品。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vertAlign w:val="baseline"/>
        </w:rPr>
        <w:t>3.所销售的商品必须明码标价。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vertAlign w:val="baseline"/>
        </w:rPr>
        <w:t>4.所销售商品必须符合食品卫生安全标准。不得经营假冒伪劣商品、“三无”商品、临期（距过期1个月以内的）及过期商品。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i w:val="0"/>
          <w:iCs w:val="0"/>
          <w:caps w:val="0"/>
          <w:color w:val="333333"/>
          <w:spacing w:val="0"/>
          <w:sz w:val="21"/>
          <w:szCs w:val="21"/>
        </w:rPr>
      </w:pPr>
      <w:r>
        <w:rPr>
          <w:rStyle w:val="6"/>
          <w:rFonts w:hint="eastAsia" w:ascii="仿宋" w:hAnsi="仿宋" w:eastAsia="仿宋" w:cs="仿宋"/>
          <w:i w:val="0"/>
          <w:iCs w:val="0"/>
          <w:caps w:val="0"/>
          <w:color w:val="333333"/>
          <w:spacing w:val="15"/>
          <w:sz w:val="28"/>
          <w:szCs w:val="28"/>
          <w:shd w:val="clear" w:fill="FFFFFF"/>
        </w:rPr>
        <w:t>（三）对经营行为的要求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vertAlign w:val="baseline"/>
        </w:rPr>
        <w:t>1.须独立经营，不接受联合经营，自营比例需达到100%。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vertAlign w:val="baseline"/>
        </w:rPr>
        <w:t>2.自助设备需开通主流移动支付功能。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vertAlign w:val="baseline"/>
        </w:rPr>
        <w:t>3.同品牌同规格产品销售价格不得高于校内超市零售价格。校内超市没有的品牌型号，销售价格不得高于学校周边便利超市零售价格。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vertAlign w:val="baseline"/>
        </w:rPr>
        <w:t>4.不得向在校师生售卖任何充值性质的预付卡。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i w:val="0"/>
          <w:iCs w:val="0"/>
          <w:caps w:val="0"/>
          <w:color w:val="333333"/>
          <w:spacing w:val="0"/>
          <w:sz w:val="21"/>
          <w:szCs w:val="21"/>
        </w:rPr>
      </w:pPr>
      <w:r>
        <w:rPr>
          <w:rStyle w:val="6"/>
          <w:rFonts w:hint="eastAsia" w:ascii="仿宋" w:hAnsi="仿宋" w:eastAsia="仿宋" w:cs="仿宋"/>
          <w:i w:val="0"/>
          <w:iCs w:val="0"/>
          <w:caps w:val="0"/>
          <w:color w:val="333333"/>
          <w:spacing w:val="15"/>
          <w:sz w:val="28"/>
          <w:szCs w:val="28"/>
          <w:shd w:val="clear" w:fill="FFFFFF"/>
        </w:rPr>
        <w:t>（四）对服务质量的要求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vertAlign w:val="baseline"/>
        </w:rPr>
        <w:t>1.合作方必须确保服务质量，及时补充商品和修复设备，对师生涉及财物的投诉事项，确保2小时内妥善处理解决。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vertAlign w:val="baseline"/>
        </w:rPr>
        <w:t>2.设备故障后，合作方接到维修电话后4小时内给予明确答复，8小时内到达现场维修。维修人员到现场后因特殊原因无法现场修复的，合作方需在24小时内给出合理解决方案。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85"/>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15"/>
          <w:sz w:val="28"/>
          <w:szCs w:val="28"/>
          <w:shd w:val="clear" w:fill="FFFFFF"/>
        </w:rPr>
        <w:t>3.如遇销售商品的质量投诉查证属实的，必须及时赔付处理，情节严重的终止合同并承担赔偿责任。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i w:val="0"/>
          <w:iCs w:val="0"/>
          <w:caps w:val="0"/>
          <w:color w:val="333333"/>
          <w:spacing w:val="0"/>
          <w:sz w:val="21"/>
          <w:szCs w:val="21"/>
        </w:rPr>
      </w:pPr>
      <w:r>
        <w:rPr>
          <w:rStyle w:val="6"/>
          <w:rFonts w:hint="eastAsia" w:ascii="仿宋" w:hAnsi="仿宋" w:eastAsia="仿宋" w:cs="仿宋"/>
          <w:i w:val="0"/>
          <w:iCs w:val="0"/>
          <w:caps w:val="0"/>
          <w:color w:val="333333"/>
          <w:spacing w:val="15"/>
          <w:sz w:val="28"/>
          <w:szCs w:val="28"/>
          <w:shd w:val="clear" w:fill="FFFFFF"/>
        </w:rPr>
        <w:t>（五）其他要求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vertAlign w:val="baseline"/>
        </w:rPr>
        <w:t>1.如发生安全事故、食品中毒事故，合作方承担所有费用，同时学校有权委托第三方机构进行检验检测，经查实属于合作方责任的，检测费用由合作方承担。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vertAlign w:val="baseline"/>
        </w:rPr>
        <w:t>2.合作方取得放置销售权后，学校进行供电线路与计费装置安装改造，费用由合作方承担。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vertAlign w:val="baseline"/>
        </w:rPr>
        <w:t>3.合作方必须按照</w:t>
      </w:r>
      <w:r>
        <w:rPr>
          <w:rFonts w:hint="eastAsia" w:ascii="仿宋" w:hAnsi="仿宋" w:eastAsia="仿宋" w:cs="仿宋"/>
          <w:i w:val="0"/>
          <w:iCs w:val="0"/>
          <w:caps w:val="0"/>
          <w:color w:val="333333"/>
          <w:spacing w:val="0"/>
          <w:sz w:val="28"/>
          <w:szCs w:val="28"/>
          <w:shd w:val="clear" w:fill="FFFFFF"/>
          <w:vertAlign w:val="baseline"/>
          <w:lang w:val="en-US" w:eastAsia="zh-CN"/>
        </w:rPr>
        <w:t>天津工业</w:t>
      </w:r>
      <w:r>
        <w:rPr>
          <w:rFonts w:hint="eastAsia" w:ascii="仿宋" w:hAnsi="仿宋" w:eastAsia="仿宋" w:cs="仿宋"/>
          <w:i w:val="0"/>
          <w:iCs w:val="0"/>
          <w:caps w:val="0"/>
          <w:color w:val="333333"/>
          <w:spacing w:val="0"/>
          <w:sz w:val="28"/>
          <w:szCs w:val="28"/>
          <w:shd w:val="clear" w:fill="FFFFFF"/>
          <w:vertAlign w:val="baseline"/>
        </w:rPr>
        <w:t>大学日常管理及疫情防控常态化要求进行服务。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333333"/>
          <w:spacing w:val="0"/>
          <w:sz w:val="21"/>
          <w:szCs w:val="21"/>
        </w:rPr>
      </w:pPr>
      <w:r>
        <w:rPr>
          <w:rStyle w:val="6"/>
          <w:rFonts w:hint="eastAsia" w:ascii="仿宋" w:hAnsi="仿宋" w:eastAsia="仿宋" w:cs="仿宋"/>
          <w:i w:val="0"/>
          <w:iCs w:val="0"/>
          <w:caps w:val="0"/>
          <w:color w:val="333333"/>
          <w:spacing w:val="0"/>
          <w:sz w:val="28"/>
          <w:szCs w:val="28"/>
          <w:shd w:val="clear" w:fill="FFFFFF"/>
          <w:lang w:val="en-US" w:eastAsia="zh-CN"/>
        </w:rPr>
        <w:t>四</w:t>
      </w:r>
      <w:r>
        <w:rPr>
          <w:rStyle w:val="6"/>
          <w:rFonts w:hint="eastAsia" w:ascii="仿宋" w:hAnsi="仿宋" w:eastAsia="仿宋" w:cs="仿宋"/>
          <w:i w:val="0"/>
          <w:iCs w:val="0"/>
          <w:caps w:val="0"/>
          <w:color w:val="333333"/>
          <w:spacing w:val="0"/>
          <w:sz w:val="28"/>
          <w:szCs w:val="28"/>
          <w:shd w:val="clear" w:fill="FFFFFF"/>
        </w:rPr>
        <w:t>、参与方式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333333"/>
          <w:spacing w:val="0"/>
          <w:sz w:val="21"/>
          <w:szCs w:val="21"/>
        </w:rPr>
      </w:pPr>
      <w:r>
        <w:rPr>
          <w:rStyle w:val="6"/>
          <w:rFonts w:hint="eastAsia" w:ascii="仿宋" w:hAnsi="仿宋" w:eastAsia="仿宋" w:cs="仿宋"/>
          <w:i w:val="0"/>
          <w:iCs w:val="0"/>
          <w:caps w:val="0"/>
          <w:color w:val="333333"/>
          <w:spacing w:val="0"/>
          <w:sz w:val="28"/>
          <w:szCs w:val="28"/>
          <w:shd w:val="clear" w:fill="FFFFFF"/>
        </w:rPr>
        <w:t>（一）报名方式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意向合作方按本章节要求制作纸质参与材料，包括1份正本和2份副本，装订成册并加盖骑缝章，并提供与纸质参与材料内容一致的电子文档，密封后在规定的时间提交到指定地点。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333333"/>
          <w:spacing w:val="0"/>
          <w:sz w:val="21"/>
          <w:szCs w:val="21"/>
        </w:rPr>
      </w:pPr>
      <w:r>
        <w:rPr>
          <w:rStyle w:val="6"/>
          <w:rFonts w:hint="eastAsia" w:ascii="仿宋" w:hAnsi="仿宋" w:eastAsia="仿宋" w:cs="仿宋"/>
          <w:i w:val="0"/>
          <w:iCs w:val="0"/>
          <w:caps w:val="0"/>
          <w:color w:val="333333"/>
          <w:spacing w:val="0"/>
          <w:sz w:val="28"/>
          <w:szCs w:val="28"/>
          <w:shd w:val="clear" w:fill="FFFFFF"/>
        </w:rPr>
        <w:t>（二）参与材料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1.身份材料。提交企业法人营业执照复印件、法定代表人身份证复印件。委托他人参与的，提交法定代表人授权委托书，以及法定代表人和被委托人的身份证复印件。以及相关的资格资质证书复印件。</w:t>
      </w:r>
      <w:r>
        <w:rPr>
          <w:rStyle w:val="6"/>
          <w:rFonts w:hint="eastAsia" w:ascii="仿宋" w:hAnsi="仿宋" w:eastAsia="仿宋" w:cs="仿宋"/>
          <w:i w:val="0"/>
          <w:iCs w:val="0"/>
          <w:caps w:val="0"/>
          <w:color w:val="333333"/>
          <w:spacing w:val="0"/>
          <w:sz w:val="28"/>
          <w:szCs w:val="28"/>
          <w:shd w:val="clear" w:fill="FFFFFF"/>
        </w:rPr>
        <w:t>现场评审时，还需提供企业营业执照副本（原件）或加盖企业公章的复印件、法定代表人身份证原件。如法定代表人无法到达现场，可提供法定代表人身份证复印件、加盖公章的书面委托书、被委托人身份证原件。未能提供以上材料的将视为自动放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lang w:val="en-US" w:eastAsia="zh-CN"/>
        </w:rPr>
        <w:t>2</w:t>
      </w:r>
      <w:r>
        <w:rPr>
          <w:rFonts w:hint="eastAsia" w:ascii="仿宋" w:hAnsi="仿宋" w:eastAsia="仿宋" w:cs="仿宋"/>
          <w:i w:val="0"/>
          <w:iCs w:val="0"/>
          <w:caps w:val="0"/>
          <w:color w:val="333333"/>
          <w:spacing w:val="0"/>
          <w:sz w:val="28"/>
          <w:szCs w:val="28"/>
          <w:shd w:val="clear" w:fill="FFFFFF"/>
        </w:rPr>
        <w:t>.响应材料。按照评分办法所对应的内容的承诺及支撑材料。包括但不限于以下内容：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①评租办法关注的打分点所对应的支撑材料、证明材料、服务承诺等。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②对第三部分经营管理要求的响应情况。任何一条不能响应的，视为无效参与。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③信用核查材料：企业法人必须提供信用中国信用信息报告。自然人须提供“中国执行信息公开网http://zxgk.court.gov.cn/shixin/”全国范围内未找到本人属于失信被执行人、信用中国网站(www.creditchina.gov.cn)相应类别征信查询结果截图，打印并加盖单位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④品牌业态的品牌授权材料。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⑤其他必备的资质材料。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⑥本竞争项目同类的实际经营案例等（限意向合作人实际运营案例）。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lang w:val="en-US" w:eastAsia="zh-CN"/>
        </w:rPr>
        <w:t>天津工业</w:t>
      </w:r>
      <w:r>
        <w:rPr>
          <w:rFonts w:hint="eastAsia" w:ascii="仿宋" w:hAnsi="仿宋" w:eastAsia="仿宋" w:cs="仿宋"/>
          <w:i w:val="0"/>
          <w:iCs w:val="0"/>
          <w:caps w:val="0"/>
          <w:color w:val="333333"/>
          <w:spacing w:val="0"/>
          <w:sz w:val="28"/>
          <w:szCs w:val="28"/>
          <w:shd w:val="clear" w:fill="FFFFFF"/>
        </w:rPr>
        <w:t>大学将依照意向合作人提交的参与材料组织评审。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333333"/>
          <w:spacing w:val="0"/>
          <w:sz w:val="21"/>
          <w:szCs w:val="21"/>
        </w:rPr>
      </w:pPr>
      <w:r>
        <w:rPr>
          <w:rStyle w:val="6"/>
          <w:rFonts w:hint="eastAsia" w:ascii="仿宋" w:hAnsi="仿宋" w:eastAsia="仿宋" w:cs="仿宋"/>
          <w:i w:val="0"/>
          <w:iCs w:val="0"/>
          <w:caps w:val="0"/>
          <w:color w:val="333333"/>
          <w:spacing w:val="0"/>
          <w:sz w:val="28"/>
          <w:szCs w:val="28"/>
          <w:shd w:val="clear" w:fill="FFFFFF"/>
        </w:rPr>
        <w:t>（三）提交参与材料的地点、时间与要求</w:t>
      </w:r>
    </w:p>
    <w:p>
      <w:pPr>
        <w:spacing w:line="500" w:lineRule="exact"/>
        <w:ind w:firstLine="560" w:firstLineChars="2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lang w:val="en-US" w:eastAsia="zh-CN"/>
        </w:rPr>
        <w:t xml:space="preserve"> </w:t>
      </w:r>
      <w:r>
        <w:rPr>
          <w:rFonts w:hint="eastAsia" w:ascii="仿宋" w:hAnsi="仿宋" w:eastAsia="仿宋" w:cs="仿宋"/>
          <w:i w:val="0"/>
          <w:iCs w:val="0"/>
          <w:caps w:val="0"/>
          <w:color w:val="333333"/>
          <w:spacing w:val="0"/>
          <w:kern w:val="0"/>
          <w:sz w:val="28"/>
          <w:szCs w:val="28"/>
          <w:shd w:val="clear" w:fill="FFFFFF"/>
          <w:lang w:val="en-US" w:eastAsia="zh-CN" w:bidi="ar"/>
        </w:rPr>
        <w:t>2023</w:t>
      </w:r>
      <w:r>
        <w:rPr>
          <w:rFonts w:hint="eastAsia" w:ascii="仿宋" w:hAnsi="仿宋" w:eastAsia="仿宋" w:cs="仿宋"/>
          <w:i w:val="0"/>
          <w:iCs w:val="0"/>
          <w:caps w:val="0"/>
          <w:color w:val="333333"/>
          <w:spacing w:val="0"/>
          <w:kern w:val="0"/>
          <w:sz w:val="28"/>
          <w:szCs w:val="28"/>
          <w:shd w:val="clear" w:fill="FFFFFF"/>
          <w:lang w:val="zh-CN" w:eastAsia="zh-CN" w:bidi="ar"/>
        </w:rPr>
        <w:t>年</w:t>
      </w:r>
      <w:r>
        <w:rPr>
          <w:rFonts w:hint="eastAsia" w:ascii="仿宋" w:hAnsi="仿宋" w:eastAsia="仿宋" w:cs="仿宋"/>
          <w:i w:val="0"/>
          <w:iCs w:val="0"/>
          <w:caps w:val="0"/>
          <w:color w:val="333333"/>
          <w:spacing w:val="0"/>
          <w:kern w:val="0"/>
          <w:sz w:val="28"/>
          <w:szCs w:val="28"/>
          <w:shd w:val="clear" w:fill="FFFFFF"/>
          <w:lang w:val="en-US" w:eastAsia="zh-CN" w:bidi="ar"/>
        </w:rPr>
        <w:t>8</w:t>
      </w:r>
      <w:r>
        <w:rPr>
          <w:rFonts w:hint="eastAsia" w:ascii="仿宋" w:hAnsi="仿宋" w:eastAsia="仿宋" w:cs="仿宋"/>
          <w:i w:val="0"/>
          <w:iCs w:val="0"/>
          <w:caps w:val="0"/>
          <w:color w:val="333333"/>
          <w:spacing w:val="0"/>
          <w:kern w:val="0"/>
          <w:sz w:val="28"/>
          <w:szCs w:val="28"/>
          <w:shd w:val="clear" w:fill="FFFFFF"/>
          <w:lang w:val="zh-CN" w:eastAsia="zh-CN" w:bidi="ar"/>
        </w:rPr>
        <w:t>月</w:t>
      </w:r>
      <w:r>
        <w:rPr>
          <w:rFonts w:hint="eastAsia" w:ascii="仿宋" w:hAnsi="仿宋" w:eastAsia="仿宋" w:cs="仿宋"/>
          <w:i w:val="0"/>
          <w:iCs w:val="0"/>
          <w:caps w:val="0"/>
          <w:color w:val="333333"/>
          <w:spacing w:val="0"/>
          <w:kern w:val="0"/>
          <w:sz w:val="28"/>
          <w:szCs w:val="28"/>
          <w:shd w:val="clear" w:fill="FFFFFF"/>
          <w:lang w:val="en-US" w:eastAsia="zh-CN" w:bidi="ar"/>
        </w:rPr>
        <w:t>14</w:t>
      </w:r>
      <w:r>
        <w:rPr>
          <w:rFonts w:hint="eastAsia" w:ascii="仿宋" w:hAnsi="仿宋" w:eastAsia="仿宋" w:cs="仿宋"/>
          <w:i w:val="0"/>
          <w:iCs w:val="0"/>
          <w:caps w:val="0"/>
          <w:color w:val="333333"/>
          <w:spacing w:val="0"/>
          <w:kern w:val="0"/>
          <w:sz w:val="28"/>
          <w:szCs w:val="28"/>
          <w:shd w:val="clear" w:fill="FFFFFF"/>
          <w:lang w:val="zh-CN" w:eastAsia="zh-CN" w:bidi="ar"/>
        </w:rPr>
        <w:t>日至</w:t>
      </w:r>
      <w:r>
        <w:rPr>
          <w:rFonts w:hint="eastAsia" w:ascii="仿宋" w:hAnsi="仿宋" w:eastAsia="仿宋" w:cs="仿宋"/>
          <w:i w:val="0"/>
          <w:iCs w:val="0"/>
          <w:caps w:val="0"/>
          <w:color w:val="333333"/>
          <w:spacing w:val="0"/>
          <w:kern w:val="0"/>
          <w:sz w:val="28"/>
          <w:szCs w:val="28"/>
          <w:shd w:val="clear" w:fill="FFFFFF"/>
          <w:lang w:val="en-US" w:eastAsia="zh-CN" w:bidi="ar"/>
        </w:rPr>
        <w:t>2023</w:t>
      </w:r>
      <w:r>
        <w:rPr>
          <w:rFonts w:hint="eastAsia" w:ascii="仿宋" w:hAnsi="仿宋" w:eastAsia="仿宋" w:cs="仿宋"/>
          <w:i w:val="0"/>
          <w:iCs w:val="0"/>
          <w:caps w:val="0"/>
          <w:color w:val="333333"/>
          <w:spacing w:val="0"/>
          <w:kern w:val="0"/>
          <w:sz w:val="28"/>
          <w:szCs w:val="28"/>
          <w:shd w:val="clear" w:fill="FFFFFF"/>
          <w:lang w:val="zh-CN" w:eastAsia="zh-CN" w:bidi="ar"/>
        </w:rPr>
        <w:t>年</w:t>
      </w:r>
      <w:r>
        <w:rPr>
          <w:rFonts w:hint="eastAsia" w:ascii="仿宋" w:hAnsi="仿宋" w:eastAsia="仿宋" w:cs="仿宋"/>
          <w:i w:val="0"/>
          <w:iCs w:val="0"/>
          <w:caps w:val="0"/>
          <w:color w:val="333333"/>
          <w:spacing w:val="0"/>
          <w:kern w:val="0"/>
          <w:sz w:val="28"/>
          <w:szCs w:val="28"/>
          <w:shd w:val="clear" w:fill="FFFFFF"/>
          <w:lang w:val="en-US" w:eastAsia="zh-CN" w:bidi="ar"/>
        </w:rPr>
        <w:t>8</w:t>
      </w:r>
      <w:r>
        <w:rPr>
          <w:rFonts w:hint="eastAsia" w:ascii="仿宋" w:hAnsi="仿宋" w:eastAsia="仿宋" w:cs="仿宋"/>
          <w:i w:val="0"/>
          <w:iCs w:val="0"/>
          <w:caps w:val="0"/>
          <w:color w:val="333333"/>
          <w:spacing w:val="0"/>
          <w:kern w:val="0"/>
          <w:sz w:val="28"/>
          <w:szCs w:val="28"/>
          <w:shd w:val="clear" w:fill="FFFFFF"/>
          <w:lang w:val="zh-CN" w:eastAsia="zh-CN" w:bidi="ar"/>
        </w:rPr>
        <w:t>月</w:t>
      </w:r>
      <w:r>
        <w:rPr>
          <w:rFonts w:hint="eastAsia" w:ascii="仿宋" w:hAnsi="仿宋" w:eastAsia="仿宋" w:cs="仿宋"/>
          <w:i w:val="0"/>
          <w:iCs w:val="0"/>
          <w:caps w:val="0"/>
          <w:color w:val="333333"/>
          <w:spacing w:val="0"/>
          <w:kern w:val="0"/>
          <w:sz w:val="28"/>
          <w:szCs w:val="28"/>
          <w:shd w:val="clear" w:fill="FFFFFF"/>
          <w:lang w:val="en-US" w:eastAsia="zh-CN" w:bidi="ar"/>
        </w:rPr>
        <w:t>16</w:t>
      </w:r>
      <w:r>
        <w:rPr>
          <w:rFonts w:hint="eastAsia" w:ascii="仿宋" w:hAnsi="仿宋" w:eastAsia="仿宋" w:cs="仿宋"/>
          <w:i w:val="0"/>
          <w:iCs w:val="0"/>
          <w:caps w:val="0"/>
          <w:color w:val="333333"/>
          <w:spacing w:val="0"/>
          <w:kern w:val="0"/>
          <w:sz w:val="28"/>
          <w:szCs w:val="28"/>
          <w:shd w:val="clear" w:fill="FFFFFF"/>
          <w:lang w:val="zh-CN" w:eastAsia="zh-CN" w:bidi="ar"/>
        </w:rPr>
        <w:t>日</w:t>
      </w:r>
      <w:r>
        <w:rPr>
          <w:rFonts w:hint="eastAsia" w:ascii="仿宋" w:hAnsi="仿宋" w:eastAsia="仿宋" w:cs="仿宋"/>
          <w:i w:val="0"/>
          <w:iCs w:val="0"/>
          <w:caps w:val="0"/>
          <w:color w:val="333333"/>
          <w:spacing w:val="0"/>
          <w:kern w:val="0"/>
          <w:sz w:val="28"/>
          <w:szCs w:val="28"/>
          <w:shd w:val="clear" w:fill="FFFFFF"/>
          <w:lang w:val="en-US" w:eastAsia="zh-CN" w:bidi="ar"/>
        </w:rPr>
        <w:t>，</w:t>
      </w:r>
      <w:r>
        <w:rPr>
          <w:rFonts w:hint="eastAsia" w:ascii="仿宋" w:hAnsi="仿宋" w:eastAsia="仿宋" w:cs="仿宋"/>
          <w:i w:val="0"/>
          <w:iCs w:val="0"/>
          <w:caps w:val="0"/>
          <w:color w:val="333333"/>
          <w:spacing w:val="0"/>
          <w:kern w:val="0"/>
          <w:sz w:val="28"/>
          <w:szCs w:val="28"/>
          <w:shd w:val="clear" w:fill="FFFFFF"/>
          <w:lang w:val="zh-CN" w:eastAsia="zh-CN" w:bidi="ar"/>
        </w:rPr>
        <w:t>每日</w:t>
      </w:r>
      <w:r>
        <w:rPr>
          <w:rFonts w:hint="eastAsia" w:ascii="仿宋" w:hAnsi="仿宋" w:eastAsia="仿宋" w:cs="仿宋"/>
          <w:i w:val="0"/>
          <w:iCs w:val="0"/>
          <w:caps w:val="0"/>
          <w:color w:val="333333"/>
          <w:spacing w:val="0"/>
          <w:kern w:val="0"/>
          <w:sz w:val="28"/>
          <w:szCs w:val="28"/>
          <w:shd w:val="clear" w:fill="FFFFFF"/>
          <w:lang w:val="en-US" w:eastAsia="zh-CN" w:bidi="ar"/>
        </w:rPr>
        <w:t>9:00-11:30</w:t>
      </w:r>
      <w:r>
        <w:rPr>
          <w:rFonts w:hint="eastAsia" w:ascii="仿宋" w:hAnsi="仿宋" w:eastAsia="仿宋" w:cs="仿宋"/>
          <w:i w:val="0"/>
          <w:iCs w:val="0"/>
          <w:caps w:val="0"/>
          <w:color w:val="333333"/>
          <w:spacing w:val="0"/>
          <w:kern w:val="0"/>
          <w:sz w:val="28"/>
          <w:szCs w:val="28"/>
          <w:shd w:val="clear" w:fill="FFFFFF"/>
          <w:lang w:val="zh-CN" w:eastAsia="zh-CN" w:bidi="ar"/>
        </w:rPr>
        <w:t>、</w:t>
      </w:r>
      <w:r>
        <w:rPr>
          <w:rFonts w:hint="eastAsia" w:ascii="仿宋" w:hAnsi="仿宋" w:eastAsia="仿宋" w:cs="仿宋"/>
          <w:i w:val="0"/>
          <w:iCs w:val="0"/>
          <w:caps w:val="0"/>
          <w:color w:val="333333"/>
          <w:spacing w:val="0"/>
          <w:kern w:val="0"/>
          <w:sz w:val="28"/>
          <w:szCs w:val="28"/>
          <w:shd w:val="clear" w:fill="FFFFFF"/>
          <w:lang w:val="en-US" w:eastAsia="zh-CN" w:bidi="ar"/>
        </w:rPr>
        <w:t>14:30-17:00</w:t>
      </w:r>
      <w:r>
        <w:rPr>
          <w:rFonts w:hint="eastAsia" w:ascii="仿宋" w:hAnsi="仿宋" w:eastAsia="仿宋" w:cs="仿宋"/>
          <w:i w:val="0"/>
          <w:iCs w:val="0"/>
          <w:caps w:val="0"/>
          <w:color w:val="333333"/>
          <w:spacing w:val="0"/>
          <w:kern w:val="0"/>
          <w:sz w:val="28"/>
          <w:szCs w:val="28"/>
          <w:shd w:val="clear" w:fill="FFFFFF"/>
          <w:lang w:val="zh-CN" w:eastAsia="zh-CN" w:bidi="ar"/>
        </w:rPr>
        <w:t>。天津工业大学</w:t>
      </w:r>
      <w:r>
        <w:rPr>
          <w:rFonts w:hint="eastAsia" w:ascii="仿宋" w:hAnsi="仿宋" w:eastAsia="仿宋" w:cs="仿宋"/>
          <w:i w:val="0"/>
          <w:iCs w:val="0"/>
          <w:caps w:val="0"/>
          <w:color w:val="333333"/>
          <w:spacing w:val="0"/>
          <w:kern w:val="0"/>
          <w:sz w:val="28"/>
          <w:szCs w:val="28"/>
          <w:shd w:val="clear" w:fill="FFFFFF"/>
          <w:lang w:val="en-US" w:eastAsia="zh-CN" w:bidi="ar"/>
        </w:rPr>
        <w:t>艺缘活动中心313</w:t>
      </w:r>
      <w:r>
        <w:rPr>
          <w:rFonts w:hint="eastAsia" w:ascii="仿宋" w:hAnsi="仿宋" w:eastAsia="仿宋" w:cs="仿宋"/>
          <w:i w:val="0"/>
          <w:iCs w:val="0"/>
          <w:caps w:val="0"/>
          <w:color w:val="333333"/>
          <w:spacing w:val="0"/>
          <w:kern w:val="0"/>
          <w:sz w:val="28"/>
          <w:szCs w:val="28"/>
          <w:shd w:val="clear" w:fill="FFFFFF"/>
          <w:lang w:val="zh-CN" w:eastAsia="zh-CN" w:bidi="ar"/>
        </w:rPr>
        <w:t>室 （报名时需持本人身份证原件、加盖公章的单位营业执照副本复印件及法人授权书）。</w:t>
      </w:r>
      <w:r>
        <w:rPr>
          <w:rFonts w:hint="eastAsia" w:ascii="仿宋" w:hAnsi="仿宋" w:eastAsia="仿宋" w:cs="仿宋"/>
          <w:i w:val="0"/>
          <w:iCs w:val="0"/>
          <w:caps w:val="0"/>
          <w:color w:val="333333"/>
          <w:spacing w:val="0"/>
          <w:sz w:val="28"/>
          <w:szCs w:val="28"/>
          <w:shd w:val="clear" w:fill="FFFFFF"/>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333333"/>
          <w:spacing w:val="0"/>
          <w:sz w:val="21"/>
          <w:szCs w:val="21"/>
        </w:rPr>
      </w:pPr>
      <w:r>
        <w:rPr>
          <w:rStyle w:val="6"/>
          <w:rFonts w:hint="eastAsia" w:ascii="仿宋" w:hAnsi="仿宋" w:eastAsia="仿宋" w:cs="仿宋"/>
          <w:i w:val="0"/>
          <w:iCs w:val="0"/>
          <w:caps w:val="0"/>
          <w:color w:val="333333"/>
          <w:spacing w:val="0"/>
          <w:sz w:val="28"/>
          <w:szCs w:val="28"/>
          <w:shd w:val="clear" w:fill="FFFFFF"/>
        </w:rPr>
        <w:t>（四）项目评审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评审地点与提交参与材料地点相同。到达提交材料截止时间后，产权人将公开所有意向参与人的报价，并由评审专家按照本公告和评标办法进行资格审查和评审，按得分从高到低确定合作方。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仿宋" w:hAnsi="仿宋" w:eastAsia="仿宋" w:cs="仿宋"/>
          <w:i w:val="0"/>
          <w:iCs w:val="0"/>
          <w:caps w:val="0"/>
          <w:color w:val="333333"/>
          <w:spacing w:val="0"/>
          <w:sz w:val="28"/>
          <w:szCs w:val="28"/>
          <w:shd w:val="clear" w:fill="FFFFFF"/>
          <w:lang w:val="en-US" w:eastAsia="zh-CN"/>
        </w:rPr>
      </w:pPr>
      <w:r>
        <w:rPr>
          <w:rFonts w:hint="eastAsia" w:ascii="仿宋" w:hAnsi="仿宋" w:eastAsia="仿宋" w:cs="仿宋"/>
          <w:i w:val="0"/>
          <w:iCs w:val="0"/>
          <w:caps w:val="0"/>
          <w:color w:val="333333"/>
          <w:spacing w:val="0"/>
          <w:sz w:val="28"/>
          <w:szCs w:val="28"/>
          <w:shd w:val="clear" w:fill="FFFFFF"/>
        </w:rPr>
        <w:t>联系电话：</w:t>
      </w:r>
      <w:r>
        <w:rPr>
          <w:rFonts w:hint="eastAsia" w:ascii="仿宋" w:hAnsi="仿宋" w:eastAsia="仿宋" w:cs="仿宋"/>
          <w:i w:val="0"/>
          <w:iCs w:val="0"/>
          <w:caps w:val="0"/>
          <w:color w:val="333333"/>
          <w:spacing w:val="0"/>
          <w:sz w:val="28"/>
          <w:szCs w:val="28"/>
          <w:shd w:val="clear" w:fill="FFFFFF"/>
          <w:lang w:val="en-US" w:eastAsia="zh-CN"/>
        </w:rPr>
        <w:t>83955900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default" w:ascii="仿宋" w:hAnsi="仿宋" w:eastAsia="仿宋" w:cs="仿宋"/>
          <w:i w:val="0"/>
          <w:iCs w:val="0"/>
          <w:caps w:val="0"/>
          <w:color w:val="333333"/>
          <w:spacing w:val="0"/>
          <w:sz w:val="28"/>
          <w:szCs w:val="28"/>
          <w:shd w:val="clear" w:fill="FFFFFF"/>
          <w:lang w:val="en-US" w:eastAsia="zh-CN"/>
        </w:rPr>
      </w:pPr>
      <w:r>
        <w:rPr>
          <w:rFonts w:hint="eastAsia" w:ascii="仿宋" w:hAnsi="仿宋" w:eastAsia="仿宋" w:cs="仿宋"/>
          <w:i w:val="0"/>
          <w:iCs w:val="0"/>
          <w:caps w:val="0"/>
          <w:color w:val="333333"/>
          <w:spacing w:val="0"/>
          <w:sz w:val="28"/>
          <w:szCs w:val="28"/>
          <w:shd w:val="clear" w:fill="FFFFFF"/>
          <w:lang w:val="en-US" w:eastAsia="zh-CN"/>
        </w:rPr>
        <w:t>附件：评分标准</w:t>
      </w:r>
    </w:p>
    <w:tbl>
      <w:tblPr>
        <w:tblStyle w:val="4"/>
        <w:tblpPr w:leftFromText="180" w:rightFromText="180" w:vertAnchor="page" w:horzAnchor="margin" w:tblpXSpec="center" w:tblpY="2236"/>
        <w:tblW w:w="875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17"/>
        <w:gridCol w:w="501"/>
        <w:gridCol w:w="243"/>
        <w:gridCol w:w="1061"/>
        <w:gridCol w:w="797"/>
        <w:gridCol w:w="5087"/>
        <w:gridCol w:w="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7" w:hRule="atLeast"/>
          <w:tblHeader/>
        </w:trPr>
        <w:tc>
          <w:tcPr>
            <w:tcW w:w="918" w:type="dxa"/>
            <w:gridSpan w:val="2"/>
            <w:noWrap w:val="0"/>
            <w:vAlign w:val="center"/>
          </w:tcPr>
          <w:p>
            <w:pPr>
              <w:autoSpaceDE w:val="0"/>
              <w:autoSpaceDN w:val="0"/>
              <w:ind w:left="105" w:leftChars="50" w:right="105" w:rightChars="50"/>
              <w:jc w:val="center"/>
              <w:rPr>
                <w:rFonts w:ascii="宋体" w:hAnsi="宋体"/>
                <w:b/>
                <w:kern w:val="0"/>
                <w:sz w:val="24"/>
                <w:lang w:eastAsia="en-US"/>
              </w:rPr>
            </w:pPr>
            <w:r>
              <w:rPr>
                <w:rFonts w:hint="eastAsia" w:ascii="宋体" w:hAnsi="宋体"/>
                <w:b/>
                <w:kern w:val="0"/>
                <w:sz w:val="24"/>
                <w:lang w:eastAsia="en-US"/>
              </w:rPr>
              <w:t>总项名称</w:t>
            </w:r>
          </w:p>
        </w:tc>
        <w:tc>
          <w:tcPr>
            <w:tcW w:w="1304" w:type="dxa"/>
            <w:gridSpan w:val="2"/>
            <w:noWrap w:val="0"/>
            <w:vAlign w:val="center"/>
          </w:tcPr>
          <w:p>
            <w:pPr>
              <w:autoSpaceDE w:val="0"/>
              <w:autoSpaceDN w:val="0"/>
              <w:ind w:left="105" w:leftChars="50" w:right="105" w:rightChars="50"/>
              <w:jc w:val="center"/>
              <w:rPr>
                <w:rFonts w:ascii="宋体" w:hAnsi="宋体"/>
                <w:b/>
                <w:kern w:val="0"/>
                <w:sz w:val="24"/>
                <w:lang w:eastAsia="en-US"/>
              </w:rPr>
            </w:pPr>
            <w:r>
              <w:rPr>
                <w:rFonts w:hint="eastAsia" w:ascii="宋体" w:hAnsi="宋体"/>
                <w:b/>
                <w:kern w:val="0"/>
                <w:sz w:val="24"/>
                <w:lang w:eastAsia="en-US"/>
              </w:rPr>
              <w:t>总项描述</w:t>
            </w:r>
          </w:p>
        </w:tc>
        <w:tc>
          <w:tcPr>
            <w:tcW w:w="797" w:type="dxa"/>
            <w:noWrap w:val="0"/>
            <w:vAlign w:val="center"/>
          </w:tcPr>
          <w:p>
            <w:pPr>
              <w:autoSpaceDE w:val="0"/>
              <w:autoSpaceDN w:val="0"/>
              <w:ind w:left="105" w:leftChars="50" w:right="105" w:rightChars="50"/>
              <w:jc w:val="center"/>
              <w:rPr>
                <w:rFonts w:ascii="宋体" w:hAnsi="宋体"/>
                <w:b/>
                <w:kern w:val="0"/>
                <w:sz w:val="24"/>
                <w:lang w:eastAsia="en-US"/>
              </w:rPr>
            </w:pPr>
            <w:r>
              <w:rPr>
                <w:rFonts w:hint="eastAsia" w:ascii="宋体" w:hAnsi="宋体"/>
                <w:b/>
                <w:kern w:val="0"/>
                <w:sz w:val="24"/>
                <w:lang w:eastAsia="en-US"/>
              </w:rPr>
              <w:t>分项名称</w:t>
            </w:r>
          </w:p>
        </w:tc>
        <w:tc>
          <w:tcPr>
            <w:tcW w:w="5087" w:type="dxa"/>
            <w:noWrap w:val="0"/>
            <w:vAlign w:val="center"/>
          </w:tcPr>
          <w:p>
            <w:pPr>
              <w:autoSpaceDE w:val="0"/>
              <w:autoSpaceDN w:val="0"/>
              <w:jc w:val="center"/>
              <w:rPr>
                <w:rFonts w:ascii="宋体" w:hAnsi="宋体"/>
                <w:b/>
                <w:kern w:val="0"/>
                <w:sz w:val="24"/>
              </w:rPr>
            </w:pPr>
            <w:r>
              <w:rPr>
                <w:rFonts w:hint="eastAsia" w:ascii="宋体" w:hAnsi="宋体"/>
                <w:b/>
                <w:kern w:val="0"/>
                <w:sz w:val="24"/>
              </w:rPr>
              <w:t>分项描述（评分标准）</w:t>
            </w:r>
          </w:p>
        </w:tc>
        <w:tc>
          <w:tcPr>
            <w:tcW w:w="652" w:type="dxa"/>
            <w:noWrap w:val="0"/>
            <w:vAlign w:val="center"/>
          </w:tcPr>
          <w:p>
            <w:pPr>
              <w:autoSpaceDE w:val="0"/>
              <w:autoSpaceDN w:val="0"/>
              <w:ind w:left="105" w:leftChars="50" w:right="105" w:rightChars="50"/>
              <w:jc w:val="center"/>
              <w:rPr>
                <w:rFonts w:ascii="宋体" w:hAnsi="宋体"/>
                <w:b/>
                <w:kern w:val="0"/>
                <w:sz w:val="24"/>
                <w:lang w:eastAsia="en-US"/>
              </w:rPr>
            </w:pPr>
            <w:r>
              <w:rPr>
                <w:rFonts w:hint="eastAsia" w:ascii="宋体" w:hAnsi="宋体"/>
                <w:b/>
                <w:kern w:val="0"/>
                <w:sz w:val="24"/>
                <w:lang w:eastAsia="en-US"/>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417" w:type="dxa"/>
          <w:trHeight w:val="1228" w:hRule="atLeast"/>
        </w:trPr>
        <w:tc>
          <w:tcPr>
            <w:tcW w:w="744" w:type="dxa"/>
            <w:gridSpan w:val="2"/>
            <w:vMerge w:val="restart"/>
            <w:noWrap w:val="0"/>
            <w:vAlign w:val="center"/>
          </w:tcPr>
          <w:p>
            <w:pPr>
              <w:topLinePunct/>
              <w:autoSpaceDE w:val="0"/>
              <w:ind w:left="105" w:leftChars="50" w:right="105" w:rightChars="50"/>
              <w:jc w:val="center"/>
              <w:rPr>
                <w:rFonts w:ascii="宋体" w:hAnsi="宋体"/>
                <w:kern w:val="0"/>
                <w:sz w:val="18"/>
                <w:szCs w:val="18"/>
              </w:rPr>
            </w:pPr>
            <w:r>
              <w:rPr>
                <w:rFonts w:hint="eastAsia" w:ascii="宋体" w:hAnsi="宋体" w:eastAsia="Times New Roman"/>
                <w:kern w:val="0"/>
                <w:sz w:val="18"/>
                <w:szCs w:val="18"/>
              </w:rPr>
              <w:t>商务分</w:t>
            </w:r>
          </w:p>
          <w:p>
            <w:pPr>
              <w:topLinePunct/>
              <w:autoSpaceDE w:val="0"/>
              <w:ind w:left="105" w:leftChars="50" w:right="105" w:rightChars="50"/>
              <w:jc w:val="center"/>
              <w:rPr>
                <w:rFonts w:ascii="宋体" w:hAnsi="宋体"/>
                <w:kern w:val="0"/>
                <w:sz w:val="18"/>
                <w:szCs w:val="18"/>
                <w:lang w:eastAsia="en-US"/>
              </w:rPr>
            </w:pPr>
            <w:r>
              <w:rPr>
                <w:rFonts w:hint="eastAsia" w:ascii="宋体" w:hAnsi="宋体"/>
                <w:kern w:val="0"/>
                <w:sz w:val="18"/>
                <w:szCs w:val="18"/>
                <w:lang w:eastAsia="en-US"/>
              </w:rPr>
              <w:t>（</w:t>
            </w:r>
            <w:r>
              <w:rPr>
                <w:rFonts w:hint="eastAsia" w:ascii="宋体" w:hAnsi="宋体"/>
                <w:kern w:val="0"/>
                <w:sz w:val="18"/>
                <w:szCs w:val="18"/>
                <w:lang w:val="en-US" w:eastAsia="zh-CN"/>
              </w:rPr>
              <w:t>50</w:t>
            </w:r>
            <w:r>
              <w:rPr>
                <w:rFonts w:hint="eastAsia" w:ascii="宋体" w:hAnsi="宋体"/>
                <w:kern w:val="0"/>
                <w:sz w:val="18"/>
                <w:szCs w:val="18"/>
                <w:lang w:eastAsia="en-US"/>
              </w:rPr>
              <w:t>分）</w:t>
            </w:r>
          </w:p>
        </w:tc>
        <w:tc>
          <w:tcPr>
            <w:tcW w:w="1061" w:type="dxa"/>
            <w:vMerge w:val="restart"/>
            <w:noWrap w:val="0"/>
            <w:vAlign w:val="center"/>
          </w:tcPr>
          <w:p>
            <w:pPr>
              <w:topLinePunct/>
              <w:autoSpaceDE w:val="0"/>
              <w:ind w:left="105" w:leftChars="50" w:right="105" w:rightChars="50"/>
              <w:jc w:val="center"/>
              <w:rPr>
                <w:rFonts w:ascii="宋体" w:hAnsi="宋体"/>
                <w:kern w:val="0"/>
                <w:sz w:val="18"/>
                <w:szCs w:val="18"/>
              </w:rPr>
            </w:pPr>
            <w:r>
              <w:rPr>
                <w:rFonts w:hint="eastAsia" w:ascii="宋体" w:hAnsi="宋体"/>
                <w:kern w:val="0"/>
                <w:sz w:val="18"/>
                <w:szCs w:val="18"/>
              </w:rPr>
              <w:t>评价</w:t>
            </w:r>
            <w:r>
              <w:rPr>
                <w:rFonts w:hint="eastAsia" w:ascii="宋体" w:hAnsi="宋体"/>
                <w:spacing w:val="-1"/>
                <w:kern w:val="0"/>
                <w:sz w:val="18"/>
                <w:szCs w:val="18"/>
              </w:rPr>
              <w:t>合作方</w:t>
            </w:r>
            <w:r>
              <w:rPr>
                <w:rFonts w:hint="eastAsia" w:ascii="宋体" w:hAnsi="宋体"/>
                <w:kern w:val="0"/>
                <w:sz w:val="18"/>
                <w:szCs w:val="18"/>
              </w:rPr>
              <w:t>管理能力和水平，满分</w:t>
            </w:r>
            <w:r>
              <w:rPr>
                <w:rFonts w:hint="eastAsia" w:ascii="宋体" w:hAnsi="宋体"/>
                <w:kern w:val="0"/>
                <w:sz w:val="18"/>
                <w:szCs w:val="18"/>
                <w:lang w:val="en-US" w:eastAsia="zh-CN"/>
              </w:rPr>
              <w:t>50</w:t>
            </w:r>
            <w:r>
              <w:rPr>
                <w:rFonts w:hint="eastAsia" w:ascii="宋体" w:hAnsi="宋体"/>
                <w:kern w:val="0"/>
                <w:sz w:val="18"/>
                <w:szCs w:val="18"/>
              </w:rPr>
              <w:t>分。</w:t>
            </w:r>
          </w:p>
        </w:tc>
        <w:tc>
          <w:tcPr>
            <w:tcW w:w="797" w:type="dxa"/>
            <w:noWrap w:val="0"/>
            <w:vAlign w:val="center"/>
          </w:tcPr>
          <w:p>
            <w:pPr>
              <w:autoSpaceDE w:val="0"/>
              <w:autoSpaceDN w:val="0"/>
              <w:ind w:left="105" w:leftChars="50" w:right="105" w:rightChars="50"/>
              <w:jc w:val="center"/>
              <w:rPr>
                <w:rFonts w:ascii="宋体" w:hAnsi="宋体" w:cs="微软雅黑"/>
                <w:color w:val="000000"/>
                <w:kern w:val="0"/>
                <w:sz w:val="18"/>
                <w:szCs w:val="18"/>
              </w:rPr>
            </w:pPr>
            <w:r>
              <w:rPr>
                <w:rFonts w:hint="eastAsia" w:ascii="宋体" w:hAnsi="宋体" w:cs="微软雅黑"/>
                <w:color w:val="000000"/>
                <w:kern w:val="0"/>
                <w:sz w:val="18"/>
                <w:szCs w:val="18"/>
                <w:lang w:eastAsia="en-US"/>
              </w:rPr>
              <w:t>管理认证</w:t>
            </w:r>
          </w:p>
        </w:tc>
        <w:tc>
          <w:tcPr>
            <w:tcW w:w="5087" w:type="dxa"/>
            <w:noWrap w:val="0"/>
            <w:vAlign w:val="center"/>
          </w:tcPr>
          <w:p>
            <w:pPr>
              <w:topLinePunct/>
              <w:ind w:left="105" w:leftChars="50" w:right="105" w:rightChars="50"/>
              <w:jc w:val="center"/>
              <w:textAlignment w:val="baseline"/>
              <w:rPr>
                <w:rFonts w:ascii="宋体" w:hAnsi="宋体" w:cs="微软雅黑"/>
                <w:bCs/>
                <w:color w:val="000000"/>
                <w:kern w:val="0"/>
                <w:sz w:val="18"/>
                <w:szCs w:val="18"/>
              </w:rPr>
            </w:pPr>
            <w:r>
              <w:rPr>
                <w:rFonts w:hint="eastAsia" w:ascii="宋体" w:hAnsi="宋体" w:eastAsia="Times New Roman" w:cs="微软雅黑"/>
                <w:bCs/>
                <w:color w:val="000000"/>
                <w:kern w:val="0"/>
                <w:sz w:val="18"/>
                <w:szCs w:val="18"/>
              </w:rPr>
              <w:t>自助雪糕智能柜厂家</w:t>
            </w:r>
            <w:r>
              <w:rPr>
                <w:rFonts w:hint="eastAsia" w:ascii="宋体" w:hAnsi="宋体" w:cs="微软雅黑"/>
                <w:bCs/>
                <w:color w:val="000000"/>
                <w:kern w:val="0"/>
                <w:sz w:val="18"/>
                <w:szCs w:val="18"/>
              </w:rPr>
              <w:t>是否具有</w:t>
            </w:r>
            <w:r>
              <w:rPr>
                <w:rFonts w:ascii="宋体" w:hAnsi="宋体" w:cs="微软雅黑"/>
                <w:bCs/>
                <w:color w:val="000000"/>
                <w:kern w:val="0"/>
                <w:sz w:val="18"/>
                <w:szCs w:val="18"/>
              </w:rPr>
              <w:t>ISO9001</w:t>
            </w:r>
            <w:r>
              <w:rPr>
                <w:rFonts w:hint="eastAsia" w:ascii="宋体" w:hAnsi="宋体" w:cs="微软雅黑"/>
                <w:bCs/>
                <w:color w:val="000000"/>
                <w:kern w:val="0"/>
                <w:sz w:val="18"/>
                <w:szCs w:val="18"/>
              </w:rPr>
              <w:t>质量管理体系认证、</w:t>
            </w:r>
            <w:r>
              <w:rPr>
                <w:rFonts w:ascii="宋体" w:hAnsi="宋体" w:cs="微软雅黑"/>
                <w:bCs/>
                <w:color w:val="000000"/>
                <w:kern w:val="0"/>
                <w:sz w:val="18"/>
                <w:szCs w:val="18"/>
              </w:rPr>
              <w:t>ISO14001环境管理体系认证、</w:t>
            </w:r>
            <w:r>
              <w:rPr>
                <w:rFonts w:hint="eastAsia" w:ascii="宋体" w:hAnsi="宋体" w:eastAsia="Times New Roman" w:cs="微软雅黑"/>
                <w:bCs/>
                <w:color w:val="000000"/>
                <w:kern w:val="0"/>
                <w:sz w:val="18"/>
                <w:szCs w:val="18"/>
              </w:rPr>
              <w:t>ISO45001</w:t>
            </w:r>
            <w:r>
              <w:rPr>
                <w:rFonts w:ascii="宋体" w:hAnsi="宋体" w:eastAsia="Times New Roman" w:cs="微软雅黑"/>
                <w:bCs/>
                <w:color w:val="000000"/>
                <w:kern w:val="0"/>
                <w:sz w:val="18"/>
                <w:szCs w:val="18"/>
              </w:rPr>
              <w:t>职业健康安全管理体系</w:t>
            </w:r>
            <w:r>
              <w:rPr>
                <w:rFonts w:ascii="宋体" w:hAnsi="宋体" w:cs="微软雅黑"/>
                <w:bCs/>
                <w:color w:val="000000"/>
                <w:kern w:val="0"/>
                <w:sz w:val="18"/>
                <w:szCs w:val="18"/>
              </w:rPr>
              <w:t>认证</w:t>
            </w:r>
            <w:r>
              <w:rPr>
                <w:rFonts w:hint="eastAsia" w:ascii="宋体" w:hAnsi="宋体" w:cs="微软雅黑"/>
                <w:bCs/>
                <w:color w:val="000000"/>
                <w:kern w:val="0"/>
                <w:sz w:val="18"/>
                <w:szCs w:val="18"/>
              </w:rPr>
              <w:t>证书且在有效期内。</w:t>
            </w:r>
            <w:r>
              <w:rPr>
                <w:rFonts w:hint="eastAsia" w:ascii="宋体" w:hAnsi="宋体" w:cs="宋体"/>
                <w:color w:val="000000"/>
                <w:kern w:val="0"/>
                <w:sz w:val="18"/>
                <w:szCs w:val="18"/>
              </w:rPr>
              <w:t>须提供证书扫描件。</w:t>
            </w:r>
            <w:r>
              <w:rPr>
                <w:rFonts w:hint="eastAsia" w:ascii="宋体" w:hAnsi="宋体" w:cs="微软雅黑"/>
                <w:bCs/>
                <w:color w:val="000000"/>
                <w:kern w:val="0"/>
                <w:sz w:val="18"/>
                <w:szCs w:val="18"/>
              </w:rPr>
              <w:t>每个证书得</w:t>
            </w:r>
            <w:r>
              <w:rPr>
                <w:rFonts w:hint="eastAsia" w:ascii="宋体" w:hAnsi="宋体" w:cs="微软雅黑"/>
                <w:bCs/>
                <w:color w:val="000000"/>
                <w:kern w:val="0"/>
                <w:sz w:val="18"/>
                <w:szCs w:val="18"/>
                <w:lang w:val="en-US" w:eastAsia="zh-CN"/>
              </w:rPr>
              <w:t>5</w:t>
            </w:r>
            <w:r>
              <w:rPr>
                <w:rFonts w:hint="eastAsia" w:ascii="宋体" w:hAnsi="宋体" w:cs="微软雅黑"/>
                <w:bCs/>
                <w:color w:val="000000"/>
                <w:kern w:val="0"/>
                <w:sz w:val="18"/>
                <w:szCs w:val="18"/>
              </w:rPr>
              <w:t>分，最高</w:t>
            </w:r>
            <w:r>
              <w:rPr>
                <w:rFonts w:hint="eastAsia" w:ascii="宋体" w:hAnsi="宋体" w:cs="微软雅黑"/>
                <w:bCs/>
                <w:color w:val="000000"/>
                <w:kern w:val="0"/>
                <w:sz w:val="18"/>
                <w:szCs w:val="18"/>
                <w:lang w:val="en-US" w:eastAsia="zh-CN"/>
              </w:rPr>
              <w:t>20</w:t>
            </w:r>
            <w:r>
              <w:rPr>
                <w:rFonts w:hint="eastAsia" w:ascii="宋体" w:hAnsi="宋体" w:cs="微软雅黑"/>
                <w:bCs/>
                <w:color w:val="000000"/>
                <w:kern w:val="0"/>
                <w:sz w:val="18"/>
                <w:szCs w:val="18"/>
              </w:rPr>
              <w:t>分。</w:t>
            </w:r>
          </w:p>
        </w:tc>
        <w:tc>
          <w:tcPr>
            <w:tcW w:w="652" w:type="dxa"/>
            <w:noWrap w:val="0"/>
            <w:vAlign w:val="center"/>
          </w:tcPr>
          <w:p>
            <w:pPr>
              <w:autoSpaceDE w:val="0"/>
              <w:autoSpaceDN w:val="0"/>
              <w:ind w:left="105" w:leftChars="50" w:right="105" w:rightChars="50"/>
              <w:jc w:val="center"/>
              <w:rPr>
                <w:rFonts w:hint="default" w:ascii="宋体" w:hAnsi="宋体" w:eastAsia="宋体" w:cs="微软雅黑"/>
                <w:color w:val="000000"/>
                <w:kern w:val="0"/>
                <w:sz w:val="18"/>
                <w:szCs w:val="18"/>
                <w:lang w:val="en-US" w:eastAsia="zh-CN"/>
              </w:rPr>
            </w:pPr>
            <w:r>
              <w:rPr>
                <w:rFonts w:hint="eastAsia" w:ascii="宋体" w:hAnsi="宋体" w:cs="微软雅黑"/>
                <w:color w:val="000000"/>
                <w:kern w:val="0"/>
                <w:sz w:val="18"/>
                <w:szCs w:val="1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417" w:type="dxa"/>
          <w:trHeight w:val="917" w:hRule="atLeast"/>
        </w:trPr>
        <w:tc>
          <w:tcPr>
            <w:tcW w:w="744" w:type="dxa"/>
            <w:gridSpan w:val="2"/>
            <w:vMerge w:val="continue"/>
            <w:noWrap w:val="0"/>
            <w:vAlign w:val="center"/>
          </w:tcPr>
          <w:p>
            <w:pPr>
              <w:topLinePunct/>
              <w:autoSpaceDE w:val="0"/>
              <w:autoSpaceDN w:val="0"/>
              <w:ind w:left="105" w:leftChars="50" w:right="105" w:rightChars="50"/>
              <w:jc w:val="center"/>
              <w:rPr>
                <w:rFonts w:hint="eastAsia" w:ascii="宋体" w:hAnsi="宋体" w:eastAsia="Times New Roman"/>
                <w:kern w:val="0"/>
                <w:sz w:val="18"/>
                <w:szCs w:val="18"/>
              </w:rPr>
            </w:pPr>
          </w:p>
        </w:tc>
        <w:tc>
          <w:tcPr>
            <w:tcW w:w="1061" w:type="dxa"/>
            <w:vMerge w:val="continue"/>
            <w:noWrap w:val="0"/>
            <w:vAlign w:val="center"/>
          </w:tcPr>
          <w:p>
            <w:pPr>
              <w:topLinePunct/>
              <w:autoSpaceDE w:val="0"/>
              <w:autoSpaceDN w:val="0"/>
              <w:ind w:left="105" w:leftChars="50" w:right="105" w:rightChars="50"/>
              <w:jc w:val="center"/>
              <w:rPr>
                <w:rFonts w:hint="eastAsia" w:ascii="宋体" w:hAnsi="宋体" w:eastAsia="Times New Roman"/>
                <w:kern w:val="0"/>
                <w:sz w:val="18"/>
                <w:szCs w:val="18"/>
              </w:rPr>
            </w:pPr>
          </w:p>
        </w:tc>
        <w:tc>
          <w:tcPr>
            <w:tcW w:w="797" w:type="dxa"/>
            <w:noWrap w:val="0"/>
            <w:vAlign w:val="center"/>
          </w:tcPr>
          <w:p>
            <w:pPr>
              <w:autoSpaceDE w:val="0"/>
              <w:autoSpaceDN w:val="0"/>
              <w:ind w:left="105" w:leftChars="50" w:right="105" w:rightChars="50"/>
              <w:jc w:val="center"/>
              <w:rPr>
                <w:rFonts w:hint="eastAsia" w:ascii="宋体" w:hAnsi="宋体" w:eastAsia="Times New Roman" w:cs="微软雅黑"/>
                <w:color w:val="000000"/>
                <w:kern w:val="0"/>
                <w:sz w:val="18"/>
                <w:szCs w:val="18"/>
                <w:lang w:eastAsia="en-US"/>
              </w:rPr>
            </w:pPr>
            <w:r>
              <w:rPr>
                <w:rFonts w:hint="eastAsia" w:ascii="宋体" w:hAnsi="宋体"/>
                <w:kern w:val="0"/>
                <w:sz w:val="18"/>
                <w:szCs w:val="18"/>
                <w:lang w:eastAsia="en-US"/>
              </w:rPr>
              <w:t>管理制度</w:t>
            </w:r>
          </w:p>
        </w:tc>
        <w:tc>
          <w:tcPr>
            <w:tcW w:w="5087" w:type="dxa"/>
            <w:noWrap w:val="0"/>
            <w:vAlign w:val="center"/>
          </w:tcPr>
          <w:p>
            <w:pPr>
              <w:topLinePunct/>
              <w:autoSpaceDE w:val="0"/>
              <w:autoSpaceDN w:val="0"/>
              <w:ind w:left="105" w:leftChars="50" w:right="105" w:rightChars="50"/>
              <w:jc w:val="center"/>
              <w:textAlignment w:val="baseline"/>
              <w:rPr>
                <w:rFonts w:hint="eastAsia" w:ascii="宋体" w:hAnsi="宋体" w:eastAsia="Times New Roman" w:cs="微软雅黑"/>
                <w:bCs/>
                <w:color w:val="000000"/>
                <w:kern w:val="0"/>
                <w:sz w:val="18"/>
                <w:szCs w:val="18"/>
              </w:rPr>
            </w:pPr>
            <w:r>
              <w:rPr>
                <w:rFonts w:hint="eastAsia" w:ascii="宋体" w:hAnsi="宋体"/>
                <w:kern w:val="0"/>
                <w:sz w:val="18"/>
                <w:szCs w:val="18"/>
              </w:rPr>
              <w:t>合作方企业管理制度、工作流程是否健全、完善。需提供企业各项管理制度、工作流程、工作规范、考核办法等。</w:t>
            </w:r>
          </w:p>
        </w:tc>
        <w:tc>
          <w:tcPr>
            <w:tcW w:w="652" w:type="dxa"/>
            <w:noWrap w:val="0"/>
            <w:vAlign w:val="center"/>
          </w:tcPr>
          <w:p>
            <w:pPr>
              <w:autoSpaceDE w:val="0"/>
              <w:autoSpaceDN w:val="0"/>
              <w:ind w:left="105" w:leftChars="50" w:right="105" w:rightChars="50"/>
              <w:jc w:val="center"/>
              <w:rPr>
                <w:rFonts w:hint="eastAsia" w:ascii="宋体" w:hAnsi="宋体" w:eastAsia="宋体" w:cs="微软雅黑"/>
                <w:color w:val="000000"/>
                <w:kern w:val="0"/>
                <w:sz w:val="18"/>
                <w:szCs w:val="18"/>
                <w:lang w:val="en-US" w:eastAsia="zh-CN"/>
              </w:rPr>
            </w:pPr>
            <w:r>
              <w:rPr>
                <w:rFonts w:hint="eastAsia" w:ascii="宋体" w:hAnsi="宋体" w:cs="微软雅黑"/>
                <w:color w:val="000000"/>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417" w:type="dxa"/>
          <w:trHeight w:val="799" w:hRule="atLeast"/>
        </w:trPr>
        <w:tc>
          <w:tcPr>
            <w:tcW w:w="744" w:type="dxa"/>
            <w:gridSpan w:val="2"/>
            <w:vMerge w:val="continue"/>
            <w:noWrap w:val="0"/>
            <w:vAlign w:val="center"/>
          </w:tcPr>
          <w:p>
            <w:pPr>
              <w:topLinePunct/>
              <w:autoSpaceDE w:val="0"/>
              <w:autoSpaceDN w:val="0"/>
              <w:ind w:left="105" w:leftChars="50" w:right="105" w:rightChars="50"/>
              <w:jc w:val="center"/>
              <w:rPr>
                <w:rFonts w:hint="eastAsia" w:ascii="宋体" w:hAnsi="宋体" w:eastAsia="Times New Roman"/>
                <w:kern w:val="0"/>
                <w:sz w:val="18"/>
                <w:szCs w:val="18"/>
              </w:rPr>
            </w:pPr>
          </w:p>
        </w:tc>
        <w:tc>
          <w:tcPr>
            <w:tcW w:w="1061" w:type="dxa"/>
            <w:vMerge w:val="continue"/>
            <w:noWrap w:val="0"/>
            <w:vAlign w:val="center"/>
          </w:tcPr>
          <w:p>
            <w:pPr>
              <w:topLinePunct/>
              <w:autoSpaceDE w:val="0"/>
              <w:autoSpaceDN w:val="0"/>
              <w:ind w:left="105" w:leftChars="50" w:right="105" w:rightChars="50"/>
              <w:jc w:val="center"/>
              <w:rPr>
                <w:rFonts w:hint="eastAsia" w:ascii="宋体" w:hAnsi="宋体" w:eastAsia="Times New Roman"/>
                <w:kern w:val="0"/>
                <w:sz w:val="18"/>
                <w:szCs w:val="18"/>
              </w:rPr>
            </w:pPr>
          </w:p>
        </w:tc>
        <w:tc>
          <w:tcPr>
            <w:tcW w:w="797" w:type="dxa"/>
            <w:noWrap w:val="0"/>
            <w:vAlign w:val="center"/>
          </w:tcPr>
          <w:p>
            <w:pPr>
              <w:autoSpaceDE w:val="0"/>
              <w:autoSpaceDN w:val="0"/>
              <w:ind w:left="105" w:leftChars="50" w:right="105" w:rightChars="50"/>
              <w:jc w:val="center"/>
              <w:rPr>
                <w:rFonts w:hint="eastAsia" w:ascii="宋体" w:hAnsi="宋体" w:eastAsia="Times New Roman"/>
                <w:kern w:val="0"/>
                <w:sz w:val="18"/>
                <w:szCs w:val="18"/>
              </w:rPr>
            </w:pPr>
            <w:r>
              <w:rPr>
                <w:rFonts w:hint="eastAsia" w:ascii="宋体" w:hAnsi="宋体"/>
                <w:kern w:val="0"/>
                <w:sz w:val="18"/>
                <w:szCs w:val="18"/>
                <w:lang w:eastAsia="en-US"/>
              </w:rPr>
              <w:t>品牌认知</w:t>
            </w:r>
          </w:p>
        </w:tc>
        <w:tc>
          <w:tcPr>
            <w:tcW w:w="5087" w:type="dxa"/>
            <w:noWrap w:val="0"/>
            <w:vAlign w:val="center"/>
          </w:tcPr>
          <w:p>
            <w:pPr>
              <w:topLinePunct/>
              <w:autoSpaceDE w:val="0"/>
              <w:autoSpaceDN w:val="0"/>
              <w:ind w:left="105" w:leftChars="50" w:right="105" w:rightChars="50"/>
              <w:jc w:val="center"/>
              <w:textAlignment w:val="baseline"/>
              <w:rPr>
                <w:rFonts w:hint="eastAsia" w:ascii="宋体" w:hAnsi="宋体" w:eastAsia="Times New Roman"/>
                <w:kern w:val="0"/>
                <w:sz w:val="18"/>
                <w:szCs w:val="18"/>
              </w:rPr>
            </w:pPr>
            <w:r>
              <w:rPr>
                <w:rFonts w:hint="eastAsia" w:ascii="宋体" w:hAnsi="宋体" w:eastAsia="Times New Roman"/>
                <w:kern w:val="0"/>
                <w:sz w:val="18"/>
                <w:szCs w:val="18"/>
              </w:rPr>
              <w:t>经营货品</w:t>
            </w:r>
            <w:r>
              <w:rPr>
                <w:rFonts w:hint="eastAsia" w:ascii="宋体" w:hAnsi="宋体"/>
                <w:kern w:val="0"/>
                <w:sz w:val="18"/>
                <w:szCs w:val="18"/>
              </w:rPr>
              <w:t>品牌是否拥有较高知名度。根据评委认知得分</w:t>
            </w:r>
          </w:p>
        </w:tc>
        <w:tc>
          <w:tcPr>
            <w:tcW w:w="652" w:type="dxa"/>
            <w:noWrap w:val="0"/>
            <w:vAlign w:val="center"/>
          </w:tcPr>
          <w:p>
            <w:pPr>
              <w:autoSpaceDE w:val="0"/>
              <w:autoSpaceDN w:val="0"/>
              <w:ind w:left="105" w:leftChars="50" w:right="105" w:rightChars="50"/>
              <w:jc w:val="center"/>
              <w:rPr>
                <w:rFonts w:hint="eastAsia" w:ascii="宋体" w:hAnsi="宋体" w:eastAsia="宋体" w:cs="微软雅黑"/>
                <w:color w:val="000000"/>
                <w:kern w:val="0"/>
                <w:sz w:val="18"/>
                <w:szCs w:val="18"/>
                <w:lang w:val="en-US" w:eastAsia="zh-CN"/>
              </w:rPr>
            </w:pPr>
            <w:r>
              <w:rPr>
                <w:rFonts w:hint="eastAsia" w:ascii="宋体" w:hAnsi="宋体" w:cs="微软雅黑"/>
                <w:color w:val="000000"/>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417" w:type="dxa"/>
          <w:trHeight w:val="902" w:hRule="atLeast"/>
        </w:trPr>
        <w:tc>
          <w:tcPr>
            <w:tcW w:w="744" w:type="dxa"/>
            <w:gridSpan w:val="2"/>
            <w:vMerge w:val="continue"/>
            <w:noWrap w:val="0"/>
            <w:vAlign w:val="center"/>
          </w:tcPr>
          <w:p>
            <w:pPr>
              <w:autoSpaceDE w:val="0"/>
              <w:autoSpaceDN w:val="0"/>
              <w:ind w:left="105" w:leftChars="50" w:right="105" w:rightChars="50"/>
              <w:jc w:val="center"/>
              <w:rPr>
                <w:rFonts w:ascii="宋体" w:hAnsi="宋体"/>
                <w:kern w:val="0"/>
                <w:sz w:val="18"/>
                <w:szCs w:val="18"/>
              </w:rPr>
            </w:pPr>
          </w:p>
        </w:tc>
        <w:tc>
          <w:tcPr>
            <w:tcW w:w="1061" w:type="dxa"/>
            <w:vMerge w:val="continue"/>
            <w:noWrap w:val="0"/>
            <w:vAlign w:val="center"/>
          </w:tcPr>
          <w:p>
            <w:pPr>
              <w:topLinePunct/>
              <w:autoSpaceDE w:val="0"/>
              <w:ind w:left="105" w:leftChars="50" w:right="105" w:rightChars="50"/>
              <w:jc w:val="center"/>
              <w:rPr>
                <w:rFonts w:ascii="宋体" w:hAnsi="宋体"/>
                <w:kern w:val="0"/>
                <w:sz w:val="18"/>
                <w:szCs w:val="18"/>
              </w:rPr>
            </w:pPr>
          </w:p>
        </w:tc>
        <w:tc>
          <w:tcPr>
            <w:tcW w:w="797" w:type="dxa"/>
            <w:noWrap w:val="0"/>
            <w:vAlign w:val="center"/>
          </w:tcPr>
          <w:p>
            <w:pPr>
              <w:autoSpaceDE w:val="0"/>
              <w:autoSpaceDN w:val="0"/>
              <w:ind w:left="105" w:leftChars="50" w:right="105" w:rightChars="50"/>
              <w:jc w:val="center"/>
              <w:rPr>
                <w:rFonts w:ascii="宋体" w:hAnsi="宋体"/>
                <w:kern w:val="0"/>
                <w:sz w:val="18"/>
                <w:szCs w:val="18"/>
              </w:rPr>
            </w:pPr>
            <w:r>
              <w:rPr>
                <w:rFonts w:hint="eastAsia" w:ascii="宋体" w:hAnsi="宋体" w:eastAsia="Times New Roman"/>
                <w:kern w:val="0"/>
                <w:sz w:val="18"/>
                <w:szCs w:val="18"/>
              </w:rPr>
              <w:t>类似项目业绩</w:t>
            </w:r>
          </w:p>
        </w:tc>
        <w:tc>
          <w:tcPr>
            <w:tcW w:w="5087" w:type="dxa"/>
            <w:noWrap w:val="0"/>
            <w:vAlign w:val="center"/>
          </w:tcPr>
          <w:p>
            <w:pPr>
              <w:autoSpaceDE w:val="0"/>
              <w:autoSpaceDN w:val="0"/>
              <w:jc w:val="center"/>
              <w:rPr>
                <w:rFonts w:ascii="宋体" w:hAnsi="宋体" w:cs="微软雅黑"/>
                <w:color w:val="000000"/>
                <w:sz w:val="18"/>
                <w:szCs w:val="18"/>
              </w:rPr>
            </w:pPr>
            <w:r>
              <w:rPr>
                <w:rFonts w:hint="eastAsia" w:ascii="宋体" w:hAnsi="宋体"/>
                <w:kern w:val="0"/>
                <w:sz w:val="18"/>
                <w:szCs w:val="18"/>
              </w:rPr>
              <w:t>2022年1月1日以来类似项目业绩（以合同签订日为准），须提供合同扫描件，每个业绩得</w:t>
            </w:r>
            <w:r>
              <w:rPr>
                <w:rFonts w:hint="eastAsia" w:ascii="宋体" w:hAnsi="宋体"/>
                <w:kern w:val="0"/>
                <w:sz w:val="18"/>
                <w:szCs w:val="18"/>
                <w:lang w:val="en-US" w:eastAsia="zh-CN"/>
              </w:rPr>
              <w:t>5</w:t>
            </w:r>
            <w:r>
              <w:rPr>
                <w:rFonts w:hint="eastAsia" w:ascii="宋体" w:hAnsi="宋体"/>
                <w:kern w:val="0"/>
                <w:sz w:val="18"/>
                <w:szCs w:val="18"/>
              </w:rPr>
              <w:t>分，最高</w:t>
            </w:r>
            <w:r>
              <w:rPr>
                <w:rFonts w:hint="eastAsia" w:ascii="宋体" w:hAnsi="宋体"/>
                <w:kern w:val="0"/>
                <w:sz w:val="18"/>
                <w:szCs w:val="18"/>
                <w:lang w:val="en-US" w:eastAsia="zh-CN"/>
              </w:rPr>
              <w:t>20</w:t>
            </w:r>
            <w:r>
              <w:rPr>
                <w:rFonts w:hint="eastAsia" w:ascii="宋体" w:hAnsi="宋体"/>
                <w:kern w:val="0"/>
                <w:sz w:val="18"/>
                <w:szCs w:val="18"/>
              </w:rPr>
              <w:t>分。</w:t>
            </w:r>
          </w:p>
        </w:tc>
        <w:tc>
          <w:tcPr>
            <w:tcW w:w="652" w:type="dxa"/>
            <w:noWrap w:val="0"/>
            <w:vAlign w:val="center"/>
          </w:tcPr>
          <w:p>
            <w:pPr>
              <w:autoSpaceDE w:val="0"/>
              <w:autoSpaceDN w:val="0"/>
              <w:ind w:left="105" w:leftChars="50" w:right="105" w:rightChars="50"/>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417" w:type="dxa"/>
          <w:trHeight w:val="912" w:hRule="atLeast"/>
        </w:trPr>
        <w:tc>
          <w:tcPr>
            <w:tcW w:w="744" w:type="dxa"/>
            <w:gridSpan w:val="2"/>
            <w:vMerge w:val="restart"/>
            <w:noWrap w:val="0"/>
            <w:vAlign w:val="center"/>
          </w:tcPr>
          <w:p>
            <w:pPr>
              <w:autoSpaceDE w:val="0"/>
              <w:autoSpaceDN w:val="0"/>
              <w:ind w:left="105" w:leftChars="50" w:right="105" w:rightChars="50"/>
              <w:jc w:val="center"/>
              <w:rPr>
                <w:rFonts w:ascii="宋体" w:hAnsi="宋体" w:eastAsia="Times New Roman"/>
                <w:color w:val="000000"/>
                <w:kern w:val="0"/>
                <w:sz w:val="18"/>
                <w:szCs w:val="18"/>
                <w:lang w:eastAsia="en-US"/>
              </w:rPr>
            </w:pPr>
            <w:r>
              <w:rPr>
                <w:rFonts w:hint="eastAsia" w:ascii="宋体" w:hAnsi="宋体" w:eastAsia="Times New Roman"/>
                <w:color w:val="000000"/>
                <w:kern w:val="0"/>
                <w:sz w:val="18"/>
                <w:szCs w:val="18"/>
                <w:lang w:eastAsia="en-US"/>
              </w:rPr>
              <w:t>服务</w:t>
            </w:r>
            <w:r>
              <w:rPr>
                <w:rFonts w:hint="eastAsia" w:ascii="宋体" w:hAnsi="宋体" w:cs="宋体"/>
                <w:color w:val="000000"/>
                <w:kern w:val="0"/>
                <w:sz w:val="18"/>
                <w:szCs w:val="18"/>
                <w:lang w:eastAsia="en-US"/>
              </w:rPr>
              <w:t>质量</w:t>
            </w:r>
          </w:p>
          <w:p>
            <w:pPr>
              <w:autoSpaceDE w:val="0"/>
              <w:autoSpaceDN w:val="0"/>
              <w:ind w:right="-2" w:rightChars="-1"/>
              <w:jc w:val="center"/>
              <w:rPr>
                <w:rFonts w:ascii="宋体" w:hAnsi="宋体"/>
                <w:kern w:val="0"/>
                <w:sz w:val="18"/>
                <w:szCs w:val="18"/>
                <w:lang w:eastAsia="en-US"/>
              </w:rPr>
            </w:pPr>
            <w:r>
              <w:rPr>
                <w:rFonts w:hint="eastAsia" w:ascii="宋体" w:hAnsi="宋体"/>
                <w:kern w:val="0"/>
                <w:sz w:val="18"/>
                <w:szCs w:val="18"/>
                <w:lang w:eastAsia="en-US"/>
              </w:rPr>
              <w:t>（</w:t>
            </w:r>
            <w:r>
              <w:rPr>
                <w:rFonts w:hint="eastAsia" w:ascii="宋体" w:hAnsi="宋体"/>
                <w:kern w:val="0"/>
                <w:sz w:val="18"/>
                <w:szCs w:val="18"/>
                <w:lang w:val="en-US" w:eastAsia="zh-CN"/>
              </w:rPr>
              <w:t>50</w:t>
            </w:r>
            <w:r>
              <w:rPr>
                <w:rFonts w:hint="eastAsia" w:ascii="宋体" w:hAnsi="宋体"/>
                <w:kern w:val="0"/>
                <w:sz w:val="18"/>
                <w:szCs w:val="18"/>
                <w:lang w:eastAsia="en-US"/>
              </w:rPr>
              <w:t>分）</w:t>
            </w:r>
          </w:p>
        </w:tc>
        <w:tc>
          <w:tcPr>
            <w:tcW w:w="1061" w:type="dxa"/>
            <w:vMerge w:val="restart"/>
            <w:noWrap w:val="0"/>
            <w:vAlign w:val="center"/>
          </w:tcPr>
          <w:p>
            <w:pPr>
              <w:topLinePunct/>
              <w:autoSpaceDE w:val="0"/>
              <w:autoSpaceDN w:val="0"/>
              <w:ind w:left="105" w:leftChars="50" w:right="105" w:rightChars="50"/>
              <w:jc w:val="center"/>
              <w:rPr>
                <w:rFonts w:ascii="宋体" w:hAnsi="宋体"/>
                <w:kern w:val="0"/>
                <w:sz w:val="18"/>
                <w:szCs w:val="18"/>
              </w:rPr>
            </w:pPr>
            <w:r>
              <w:rPr>
                <w:rFonts w:hint="eastAsia" w:ascii="宋体" w:hAnsi="宋体"/>
                <w:kern w:val="0"/>
                <w:sz w:val="18"/>
                <w:szCs w:val="18"/>
              </w:rPr>
              <w:t>评价承租方整体服务质量能力，满分</w:t>
            </w:r>
            <w:r>
              <w:rPr>
                <w:rFonts w:hint="eastAsia" w:ascii="宋体" w:hAnsi="宋体"/>
                <w:kern w:val="0"/>
                <w:sz w:val="18"/>
                <w:szCs w:val="18"/>
                <w:lang w:val="en-US" w:eastAsia="zh-CN"/>
              </w:rPr>
              <w:t>50</w:t>
            </w:r>
            <w:r>
              <w:rPr>
                <w:rFonts w:hint="eastAsia" w:ascii="宋体" w:hAnsi="宋体"/>
                <w:kern w:val="0"/>
                <w:sz w:val="18"/>
                <w:szCs w:val="18"/>
              </w:rPr>
              <w:t>分</w:t>
            </w:r>
          </w:p>
        </w:tc>
        <w:tc>
          <w:tcPr>
            <w:tcW w:w="797" w:type="dxa"/>
            <w:noWrap w:val="0"/>
            <w:vAlign w:val="center"/>
          </w:tcPr>
          <w:p>
            <w:pPr>
              <w:autoSpaceDE w:val="0"/>
              <w:autoSpaceDN w:val="0"/>
              <w:ind w:left="105" w:leftChars="50" w:right="105" w:rightChars="50"/>
              <w:jc w:val="center"/>
              <w:rPr>
                <w:rFonts w:ascii="宋体" w:hAnsi="宋体"/>
                <w:kern w:val="0"/>
                <w:sz w:val="18"/>
                <w:szCs w:val="18"/>
                <w:lang w:eastAsia="en-US"/>
              </w:rPr>
            </w:pPr>
            <w:r>
              <w:rPr>
                <w:rFonts w:hint="eastAsia" w:ascii="宋体" w:hAnsi="宋体"/>
                <w:kern w:val="0"/>
                <w:sz w:val="18"/>
                <w:szCs w:val="18"/>
                <w:lang w:eastAsia="en-US"/>
              </w:rPr>
              <w:t>价格保障</w:t>
            </w:r>
          </w:p>
        </w:tc>
        <w:tc>
          <w:tcPr>
            <w:tcW w:w="5087" w:type="dxa"/>
            <w:noWrap w:val="0"/>
            <w:vAlign w:val="center"/>
          </w:tcPr>
          <w:p>
            <w:pPr>
              <w:topLinePunct/>
              <w:ind w:left="105" w:leftChars="50" w:right="105" w:rightChars="50"/>
              <w:jc w:val="center"/>
              <w:rPr>
                <w:rFonts w:ascii="宋体" w:hAnsi="宋体"/>
                <w:kern w:val="0"/>
                <w:sz w:val="18"/>
                <w:szCs w:val="18"/>
              </w:rPr>
            </w:pPr>
            <w:r>
              <w:rPr>
                <w:rFonts w:hint="eastAsia" w:ascii="宋体" w:hAnsi="宋体"/>
                <w:kern w:val="0"/>
                <w:sz w:val="18"/>
                <w:szCs w:val="18"/>
              </w:rPr>
              <w:t>是否面向师生提供不高于市场价格的商品与服务定价，根据具体的定价方案得分。</w:t>
            </w:r>
          </w:p>
        </w:tc>
        <w:tc>
          <w:tcPr>
            <w:tcW w:w="652" w:type="dxa"/>
            <w:noWrap w:val="0"/>
            <w:vAlign w:val="center"/>
          </w:tcPr>
          <w:p>
            <w:pPr>
              <w:autoSpaceDE w:val="0"/>
              <w:autoSpaceDN w:val="0"/>
              <w:ind w:left="105" w:leftChars="50" w:right="105" w:rightChars="50"/>
              <w:jc w:val="center"/>
              <w:rPr>
                <w:rFonts w:hint="eastAsia" w:ascii="宋体" w:hAnsi="宋体" w:eastAsia="宋体"/>
                <w:kern w:val="0"/>
                <w:sz w:val="18"/>
                <w:szCs w:val="18"/>
                <w:lang w:val="en-US" w:eastAsia="zh-CN"/>
              </w:rPr>
            </w:pPr>
            <w:r>
              <w:rPr>
                <w:rFonts w:hint="eastAsia" w:ascii="宋体" w:hAnsi="宋体"/>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417" w:type="dxa"/>
          <w:trHeight w:val="929" w:hRule="atLeast"/>
        </w:trPr>
        <w:tc>
          <w:tcPr>
            <w:tcW w:w="744" w:type="dxa"/>
            <w:gridSpan w:val="2"/>
            <w:vMerge w:val="continue"/>
            <w:noWrap w:val="0"/>
            <w:vAlign w:val="center"/>
          </w:tcPr>
          <w:p>
            <w:pPr>
              <w:autoSpaceDE w:val="0"/>
              <w:autoSpaceDN w:val="0"/>
              <w:ind w:left="105" w:leftChars="50" w:right="105" w:rightChars="50"/>
              <w:jc w:val="center"/>
              <w:rPr>
                <w:rFonts w:ascii="宋体" w:hAnsi="宋体" w:eastAsia="Times New Roman"/>
                <w:color w:val="000000"/>
                <w:kern w:val="0"/>
                <w:sz w:val="18"/>
                <w:szCs w:val="18"/>
                <w:lang w:eastAsia="en-US"/>
              </w:rPr>
            </w:pPr>
          </w:p>
        </w:tc>
        <w:tc>
          <w:tcPr>
            <w:tcW w:w="1061" w:type="dxa"/>
            <w:vMerge w:val="continue"/>
            <w:noWrap w:val="0"/>
            <w:vAlign w:val="center"/>
          </w:tcPr>
          <w:p>
            <w:pPr>
              <w:topLinePunct/>
              <w:autoSpaceDE w:val="0"/>
              <w:autoSpaceDN w:val="0"/>
              <w:ind w:left="105" w:leftChars="50" w:right="105" w:rightChars="50"/>
              <w:jc w:val="center"/>
              <w:rPr>
                <w:rFonts w:ascii="宋体" w:hAnsi="宋体"/>
                <w:kern w:val="0"/>
                <w:sz w:val="18"/>
                <w:szCs w:val="18"/>
                <w:lang w:eastAsia="en-US"/>
              </w:rPr>
            </w:pPr>
          </w:p>
        </w:tc>
        <w:tc>
          <w:tcPr>
            <w:tcW w:w="797" w:type="dxa"/>
            <w:vMerge w:val="restart"/>
            <w:noWrap w:val="0"/>
            <w:vAlign w:val="center"/>
          </w:tcPr>
          <w:p>
            <w:pPr>
              <w:autoSpaceDE w:val="0"/>
              <w:autoSpaceDN w:val="0"/>
              <w:ind w:left="105" w:leftChars="50" w:right="105" w:rightChars="50"/>
              <w:jc w:val="center"/>
              <w:rPr>
                <w:rFonts w:ascii="宋体" w:hAnsi="宋体"/>
                <w:kern w:val="0"/>
                <w:sz w:val="18"/>
                <w:szCs w:val="18"/>
                <w:lang w:eastAsia="en-US"/>
              </w:rPr>
            </w:pPr>
            <w:r>
              <w:rPr>
                <w:rFonts w:hint="eastAsia" w:ascii="宋体" w:hAnsi="宋体" w:eastAsia="Times New Roman" w:cs="宋体"/>
                <w:color w:val="000000"/>
                <w:kern w:val="0"/>
                <w:sz w:val="18"/>
                <w:szCs w:val="18"/>
              </w:rPr>
              <w:t>服务保障</w:t>
            </w:r>
          </w:p>
        </w:tc>
        <w:tc>
          <w:tcPr>
            <w:tcW w:w="5087" w:type="dxa"/>
            <w:noWrap w:val="0"/>
            <w:vAlign w:val="center"/>
          </w:tcPr>
          <w:p>
            <w:pPr>
              <w:topLinePunct/>
              <w:autoSpaceDE w:val="0"/>
              <w:autoSpaceDN w:val="0"/>
              <w:ind w:left="105" w:leftChars="50" w:right="105" w:rightChars="50"/>
              <w:jc w:val="center"/>
              <w:rPr>
                <w:rFonts w:ascii="宋体" w:hAnsi="宋体"/>
                <w:kern w:val="0"/>
                <w:sz w:val="18"/>
                <w:szCs w:val="18"/>
              </w:rPr>
            </w:pPr>
            <w:r>
              <w:rPr>
                <w:rFonts w:hint="eastAsia" w:ascii="宋体" w:hAnsi="宋体"/>
                <w:kern w:val="0"/>
                <w:sz w:val="18"/>
                <w:szCs w:val="18"/>
              </w:rPr>
              <w:t>完善的管理制度、服务方案（含配送设备和人员、配送时效、服务措施等）。优得</w:t>
            </w:r>
            <w:r>
              <w:rPr>
                <w:rFonts w:ascii="宋体" w:hAnsi="宋体"/>
                <w:kern w:val="0"/>
                <w:sz w:val="18"/>
                <w:szCs w:val="18"/>
              </w:rPr>
              <w:t>20-17</w:t>
            </w:r>
            <w:r>
              <w:rPr>
                <w:rFonts w:hint="eastAsia" w:ascii="宋体" w:hAnsi="宋体"/>
                <w:kern w:val="0"/>
                <w:sz w:val="18"/>
                <w:szCs w:val="18"/>
              </w:rPr>
              <w:t>分，良得</w:t>
            </w:r>
            <w:r>
              <w:rPr>
                <w:rFonts w:ascii="宋体" w:hAnsi="宋体"/>
                <w:kern w:val="0"/>
                <w:sz w:val="18"/>
                <w:szCs w:val="18"/>
              </w:rPr>
              <w:t>17-13</w:t>
            </w:r>
            <w:r>
              <w:rPr>
                <w:rFonts w:hint="eastAsia" w:ascii="宋体" w:hAnsi="宋体"/>
                <w:kern w:val="0"/>
                <w:sz w:val="18"/>
                <w:szCs w:val="18"/>
              </w:rPr>
              <w:t>分，一般得</w:t>
            </w:r>
            <w:r>
              <w:rPr>
                <w:rFonts w:ascii="宋体" w:hAnsi="宋体"/>
                <w:kern w:val="0"/>
                <w:sz w:val="18"/>
                <w:szCs w:val="18"/>
              </w:rPr>
              <w:t>13-8</w:t>
            </w:r>
            <w:r>
              <w:rPr>
                <w:rFonts w:hint="eastAsia" w:ascii="宋体" w:hAnsi="宋体"/>
                <w:kern w:val="0"/>
                <w:sz w:val="18"/>
                <w:szCs w:val="18"/>
              </w:rPr>
              <w:t>分，差得</w:t>
            </w:r>
            <w:r>
              <w:rPr>
                <w:rFonts w:ascii="宋体" w:hAnsi="宋体"/>
                <w:kern w:val="0"/>
                <w:sz w:val="18"/>
                <w:szCs w:val="18"/>
              </w:rPr>
              <w:t>8</w:t>
            </w:r>
            <w:r>
              <w:rPr>
                <w:rFonts w:hint="eastAsia" w:ascii="宋体" w:hAnsi="宋体"/>
                <w:kern w:val="0"/>
                <w:sz w:val="18"/>
                <w:szCs w:val="18"/>
              </w:rPr>
              <w:t>-</w:t>
            </w:r>
            <w:r>
              <w:rPr>
                <w:rFonts w:ascii="宋体" w:hAnsi="宋体"/>
                <w:kern w:val="0"/>
                <w:sz w:val="18"/>
                <w:szCs w:val="18"/>
              </w:rPr>
              <w:t>0</w:t>
            </w:r>
            <w:r>
              <w:rPr>
                <w:rFonts w:hint="eastAsia" w:ascii="宋体" w:hAnsi="宋体"/>
                <w:kern w:val="0"/>
                <w:sz w:val="18"/>
                <w:szCs w:val="18"/>
              </w:rPr>
              <w:t>分；。</w:t>
            </w:r>
          </w:p>
        </w:tc>
        <w:tc>
          <w:tcPr>
            <w:tcW w:w="652" w:type="dxa"/>
            <w:noWrap w:val="0"/>
            <w:vAlign w:val="center"/>
          </w:tcPr>
          <w:p>
            <w:pPr>
              <w:autoSpaceDE w:val="0"/>
              <w:autoSpaceDN w:val="0"/>
              <w:ind w:left="105" w:leftChars="50" w:right="105" w:rightChars="50"/>
              <w:jc w:val="center"/>
              <w:rPr>
                <w:rFonts w:hint="eastAsia" w:ascii="宋体" w:hAnsi="宋体"/>
                <w:kern w:val="0"/>
                <w:sz w:val="18"/>
                <w:szCs w:val="18"/>
              </w:rPr>
            </w:pPr>
            <w:r>
              <w:rPr>
                <w:rFonts w:hint="eastAsia" w:ascii="宋体" w:hAnsi="宋体" w:eastAsia="Times New Roman"/>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417" w:type="dxa"/>
          <w:trHeight w:val="1108" w:hRule="atLeast"/>
        </w:trPr>
        <w:tc>
          <w:tcPr>
            <w:tcW w:w="744" w:type="dxa"/>
            <w:gridSpan w:val="2"/>
            <w:vMerge w:val="continue"/>
            <w:noWrap w:val="0"/>
            <w:vAlign w:val="center"/>
          </w:tcPr>
          <w:p>
            <w:pPr>
              <w:autoSpaceDE w:val="0"/>
              <w:autoSpaceDN w:val="0"/>
              <w:ind w:left="105" w:leftChars="50" w:right="105" w:rightChars="50"/>
              <w:jc w:val="center"/>
              <w:rPr>
                <w:rFonts w:ascii="宋体" w:hAnsi="宋体" w:eastAsia="Times New Roman"/>
                <w:color w:val="000000"/>
                <w:kern w:val="0"/>
                <w:sz w:val="18"/>
                <w:szCs w:val="18"/>
                <w:lang w:eastAsia="en-US"/>
              </w:rPr>
            </w:pPr>
          </w:p>
        </w:tc>
        <w:tc>
          <w:tcPr>
            <w:tcW w:w="1061" w:type="dxa"/>
            <w:vMerge w:val="continue"/>
            <w:noWrap w:val="0"/>
            <w:vAlign w:val="center"/>
          </w:tcPr>
          <w:p>
            <w:pPr>
              <w:topLinePunct/>
              <w:autoSpaceDE w:val="0"/>
              <w:autoSpaceDN w:val="0"/>
              <w:ind w:left="105" w:leftChars="50" w:right="105" w:rightChars="50"/>
              <w:jc w:val="center"/>
              <w:rPr>
                <w:rFonts w:ascii="宋体" w:hAnsi="宋体"/>
                <w:kern w:val="0"/>
                <w:sz w:val="18"/>
                <w:szCs w:val="18"/>
                <w:lang w:eastAsia="en-US"/>
              </w:rPr>
            </w:pPr>
          </w:p>
        </w:tc>
        <w:tc>
          <w:tcPr>
            <w:tcW w:w="797" w:type="dxa"/>
            <w:vMerge w:val="continue"/>
            <w:noWrap w:val="0"/>
            <w:vAlign w:val="center"/>
          </w:tcPr>
          <w:p>
            <w:pPr>
              <w:autoSpaceDE w:val="0"/>
              <w:autoSpaceDN w:val="0"/>
              <w:ind w:left="105" w:leftChars="50" w:right="105" w:rightChars="50"/>
              <w:jc w:val="center"/>
              <w:rPr>
                <w:rFonts w:ascii="宋体" w:hAnsi="宋体"/>
                <w:kern w:val="0"/>
                <w:sz w:val="18"/>
                <w:szCs w:val="18"/>
                <w:highlight w:val="lightGray"/>
              </w:rPr>
            </w:pPr>
          </w:p>
        </w:tc>
        <w:tc>
          <w:tcPr>
            <w:tcW w:w="5087" w:type="dxa"/>
            <w:noWrap w:val="0"/>
            <w:vAlign w:val="center"/>
          </w:tcPr>
          <w:p>
            <w:pPr>
              <w:topLinePunct/>
              <w:autoSpaceDE w:val="0"/>
              <w:autoSpaceDN w:val="0"/>
              <w:ind w:left="105" w:leftChars="50" w:right="105" w:rightChars="50"/>
              <w:jc w:val="center"/>
              <w:rPr>
                <w:rFonts w:ascii="宋体" w:hAnsi="宋体"/>
                <w:kern w:val="0"/>
                <w:sz w:val="18"/>
                <w:szCs w:val="18"/>
                <w:highlight w:val="lightGray"/>
              </w:rPr>
            </w:pPr>
            <w:r>
              <w:rPr>
                <w:rFonts w:hint="eastAsia" w:ascii="宋体" w:hAnsi="宋体"/>
                <w:kern w:val="0"/>
                <w:sz w:val="18"/>
                <w:szCs w:val="18"/>
              </w:rPr>
              <w:t>经营与服务过程中安全管理、安全防范、应急处理、纠纷处理、投诉处理等具体应对方案和切实可行的措施。优得</w:t>
            </w:r>
            <w:r>
              <w:rPr>
                <w:rFonts w:ascii="宋体" w:hAnsi="宋体"/>
                <w:kern w:val="0"/>
                <w:sz w:val="18"/>
                <w:szCs w:val="18"/>
              </w:rPr>
              <w:t>15-13</w:t>
            </w:r>
            <w:r>
              <w:rPr>
                <w:rFonts w:hint="eastAsia" w:ascii="宋体" w:hAnsi="宋体"/>
                <w:kern w:val="0"/>
                <w:sz w:val="18"/>
                <w:szCs w:val="18"/>
              </w:rPr>
              <w:t>分，良得</w:t>
            </w:r>
            <w:r>
              <w:rPr>
                <w:rFonts w:ascii="宋体" w:hAnsi="宋体"/>
                <w:kern w:val="0"/>
                <w:sz w:val="18"/>
                <w:szCs w:val="18"/>
              </w:rPr>
              <w:t>13-10</w:t>
            </w:r>
            <w:r>
              <w:rPr>
                <w:rFonts w:hint="eastAsia" w:ascii="宋体" w:hAnsi="宋体"/>
                <w:kern w:val="0"/>
                <w:sz w:val="18"/>
                <w:szCs w:val="18"/>
              </w:rPr>
              <w:t>分，一般得</w:t>
            </w:r>
            <w:r>
              <w:rPr>
                <w:rFonts w:ascii="宋体" w:hAnsi="宋体"/>
                <w:kern w:val="0"/>
                <w:sz w:val="18"/>
                <w:szCs w:val="18"/>
              </w:rPr>
              <w:t>10-6</w:t>
            </w:r>
            <w:r>
              <w:rPr>
                <w:rFonts w:hint="eastAsia" w:ascii="宋体" w:hAnsi="宋体"/>
                <w:kern w:val="0"/>
                <w:sz w:val="18"/>
                <w:szCs w:val="18"/>
              </w:rPr>
              <w:t>分，差得6-</w:t>
            </w:r>
            <w:r>
              <w:rPr>
                <w:rFonts w:ascii="宋体" w:hAnsi="宋体"/>
                <w:kern w:val="0"/>
                <w:sz w:val="18"/>
                <w:szCs w:val="18"/>
              </w:rPr>
              <w:t>0</w:t>
            </w:r>
            <w:r>
              <w:rPr>
                <w:rFonts w:hint="eastAsia" w:ascii="宋体" w:hAnsi="宋体"/>
                <w:kern w:val="0"/>
                <w:sz w:val="18"/>
                <w:szCs w:val="18"/>
              </w:rPr>
              <w:t>分；</w:t>
            </w:r>
          </w:p>
        </w:tc>
        <w:tc>
          <w:tcPr>
            <w:tcW w:w="652" w:type="dxa"/>
            <w:noWrap w:val="0"/>
            <w:vAlign w:val="center"/>
          </w:tcPr>
          <w:p>
            <w:pPr>
              <w:autoSpaceDE w:val="0"/>
              <w:autoSpaceDN w:val="0"/>
              <w:ind w:left="105" w:leftChars="50" w:right="105" w:rightChars="50"/>
              <w:jc w:val="center"/>
              <w:rPr>
                <w:rFonts w:hint="eastAsia" w:ascii="宋体" w:hAnsi="宋体"/>
                <w:kern w:val="0"/>
                <w:sz w:val="18"/>
                <w:szCs w:val="18"/>
              </w:rPr>
            </w:pPr>
            <w:r>
              <w:rPr>
                <w:rFonts w:hint="eastAsia" w:ascii="宋体" w:hAnsi="宋体" w:eastAsia="Times New Roman"/>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417" w:type="dxa"/>
          <w:trHeight w:val="873" w:hRule="atLeast"/>
        </w:trPr>
        <w:tc>
          <w:tcPr>
            <w:tcW w:w="744" w:type="dxa"/>
            <w:gridSpan w:val="2"/>
            <w:vMerge w:val="continue"/>
            <w:noWrap w:val="0"/>
            <w:vAlign w:val="center"/>
          </w:tcPr>
          <w:p>
            <w:pPr>
              <w:autoSpaceDE w:val="0"/>
              <w:autoSpaceDN w:val="0"/>
              <w:ind w:left="105" w:leftChars="50" w:right="105" w:rightChars="50"/>
              <w:jc w:val="center"/>
              <w:rPr>
                <w:rFonts w:ascii="宋体" w:hAnsi="宋体"/>
                <w:kern w:val="0"/>
                <w:sz w:val="18"/>
                <w:szCs w:val="18"/>
                <w:lang w:eastAsia="en-US"/>
              </w:rPr>
            </w:pPr>
          </w:p>
        </w:tc>
        <w:tc>
          <w:tcPr>
            <w:tcW w:w="1061" w:type="dxa"/>
            <w:vMerge w:val="continue"/>
            <w:noWrap w:val="0"/>
            <w:vAlign w:val="center"/>
          </w:tcPr>
          <w:p>
            <w:pPr>
              <w:topLinePunct/>
              <w:autoSpaceDE w:val="0"/>
              <w:autoSpaceDN w:val="0"/>
              <w:ind w:left="105" w:leftChars="50" w:right="105" w:rightChars="50"/>
              <w:jc w:val="center"/>
              <w:rPr>
                <w:rFonts w:ascii="宋体" w:hAnsi="宋体"/>
                <w:kern w:val="0"/>
                <w:sz w:val="18"/>
                <w:szCs w:val="18"/>
                <w:lang w:eastAsia="en-US"/>
              </w:rPr>
            </w:pPr>
          </w:p>
        </w:tc>
        <w:tc>
          <w:tcPr>
            <w:tcW w:w="797" w:type="dxa"/>
            <w:vMerge w:val="continue"/>
            <w:noWrap w:val="0"/>
            <w:vAlign w:val="center"/>
          </w:tcPr>
          <w:p>
            <w:pPr>
              <w:autoSpaceDE w:val="0"/>
              <w:autoSpaceDN w:val="0"/>
              <w:ind w:left="105" w:leftChars="50" w:right="105" w:rightChars="50"/>
              <w:jc w:val="center"/>
              <w:rPr>
                <w:rFonts w:ascii="宋体" w:hAnsi="宋体"/>
                <w:kern w:val="0"/>
                <w:sz w:val="18"/>
                <w:szCs w:val="18"/>
                <w:lang w:eastAsia="en-US"/>
              </w:rPr>
            </w:pPr>
          </w:p>
        </w:tc>
        <w:tc>
          <w:tcPr>
            <w:tcW w:w="5087" w:type="dxa"/>
            <w:noWrap w:val="0"/>
            <w:vAlign w:val="center"/>
          </w:tcPr>
          <w:p>
            <w:pPr>
              <w:topLinePunct/>
              <w:ind w:left="105" w:leftChars="50" w:right="105" w:rightChars="50"/>
              <w:jc w:val="center"/>
              <w:rPr>
                <w:rFonts w:ascii="宋体" w:hAnsi="宋体"/>
                <w:kern w:val="0"/>
                <w:sz w:val="18"/>
                <w:szCs w:val="18"/>
              </w:rPr>
            </w:pPr>
            <w:r>
              <w:rPr>
                <w:rFonts w:hint="eastAsia" w:ascii="宋体" w:hAnsi="宋体"/>
                <w:kern w:val="0"/>
                <w:sz w:val="18"/>
                <w:szCs w:val="18"/>
              </w:rPr>
              <w:t>供货渠道是否稳定、多元，物流是否通畅、高效。需提供供货商清单和供货合同，其中生产厂家直接供货的合同占比越高，则渠道越优。</w:t>
            </w:r>
          </w:p>
        </w:tc>
        <w:tc>
          <w:tcPr>
            <w:tcW w:w="652" w:type="dxa"/>
            <w:noWrap w:val="0"/>
            <w:vAlign w:val="center"/>
          </w:tcPr>
          <w:p>
            <w:pPr>
              <w:autoSpaceDE w:val="0"/>
              <w:autoSpaceDN w:val="0"/>
              <w:ind w:left="105" w:leftChars="50" w:right="105" w:rightChars="50"/>
              <w:jc w:val="center"/>
              <w:rPr>
                <w:rFonts w:hint="eastAsia" w:ascii="宋体" w:hAnsi="宋体" w:eastAsia="宋体"/>
                <w:kern w:val="0"/>
                <w:sz w:val="18"/>
                <w:szCs w:val="18"/>
                <w:lang w:val="en-US" w:eastAsia="zh-CN"/>
              </w:rPr>
            </w:pPr>
            <w:r>
              <w:rPr>
                <w:rFonts w:hint="eastAsia" w:ascii="宋体" w:hAnsi="宋体"/>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417" w:type="dxa"/>
          <w:trHeight w:val="1048" w:hRule="atLeast"/>
        </w:trPr>
        <w:tc>
          <w:tcPr>
            <w:tcW w:w="744" w:type="dxa"/>
            <w:gridSpan w:val="2"/>
            <w:vMerge w:val="continue"/>
            <w:noWrap w:val="0"/>
            <w:vAlign w:val="center"/>
          </w:tcPr>
          <w:p>
            <w:pPr>
              <w:autoSpaceDE w:val="0"/>
              <w:autoSpaceDN w:val="0"/>
              <w:ind w:left="105" w:leftChars="50" w:right="105" w:rightChars="50"/>
              <w:jc w:val="center"/>
              <w:rPr>
                <w:rFonts w:hint="eastAsia" w:ascii="宋体" w:hAnsi="宋体" w:eastAsia="Times New Roman"/>
                <w:kern w:val="0"/>
                <w:sz w:val="18"/>
                <w:szCs w:val="18"/>
                <w:lang w:eastAsia="en-US"/>
              </w:rPr>
            </w:pPr>
          </w:p>
        </w:tc>
        <w:tc>
          <w:tcPr>
            <w:tcW w:w="1061" w:type="dxa"/>
            <w:vMerge w:val="continue"/>
            <w:noWrap w:val="0"/>
            <w:vAlign w:val="center"/>
          </w:tcPr>
          <w:p>
            <w:pPr>
              <w:topLinePunct/>
              <w:autoSpaceDE w:val="0"/>
              <w:autoSpaceDN w:val="0"/>
              <w:ind w:left="105" w:leftChars="50" w:right="105" w:rightChars="50"/>
              <w:jc w:val="center"/>
              <w:rPr>
                <w:rFonts w:hint="eastAsia" w:ascii="宋体" w:hAnsi="宋体" w:eastAsia="Times New Roman"/>
                <w:kern w:val="0"/>
                <w:sz w:val="18"/>
                <w:szCs w:val="18"/>
              </w:rPr>
            </w:pPr>
          </w:p>
        </w:tc>
        <w:tc>
          <w:tcPr>
            <w:tcW w:w="797" w:type="dxa"/>
            <w:noWrap w:val="0"/>
            <w:vAlign w:val="center"/>
          </w:tcPr>
          <w:p>
            <w:pPr>
              <w:autoSpaceDE w:val="0"/>
              <w:autoSpaceDN w:val="0"/>
              <w:ind w:left="105" w:leftChars="50" w:right="105" w:rightChars="50"/>
              <w:jc w:val="center"/>
              <w:rPr>
                <w:rFonts w:hint="eastAsia" w:ascii="宋体" w:hAnsi="宋体" w:eastAsia="Times New Roman" w:cs="宋体"/>
                <w:color w:val="000000"/>
                <w:kern w:val="0"/>
                <w:sz w:val="18"/>
                <w:szCs w:val="18"/>
              </w:rPr>
            </w:pPr>
            <w:r>
              <w:rPr>
                <w:rFonts w:hint="eastAsia" w:ascii="宋体" w:hAnsi="宋体" w:eastAsia="Times New Roman" w:cs="宋体"/>
                <w:color w:val="000000"/>
                <w:kern w:val="0"/>
                <w:sz w:val="18"/>
                <w:szCs w:val="18"/>
              </w:rPr>
              <w:t>安全保障</w:t>
            </w:r>
          </w:p>
        </w:tc>
        <w:tc>
          <w:tcPr>
            <w:tcW w:w="5087" w:type="dxa"/>
            <w:noWrap w:val="0"/>
            <w:vAlign w:val="center"/>
          </w:tcPr>
          <w:p>
            <w:pPr>
              <w:topLinePunct/>
              <w:autoSpaceDE w:val="0"/>
              <w:autoSpaceDN w:val="0"/>
              <w:ind w:left="105" w:leftChars="50" w:right="105" w:rightChars="50"/>
              <w:jc w:val="center"/>
              <w:rPr>
                <w:rFonts w:hint="eastAsia" w:ascii="宋体" w:hAnsi="宋体" w:eastAsia="Times New Roman"/>
                <w:kern w:val="0"/>
                <w:sz w:val="18"/>
                <w:szCs w:val="18"/>
              </w:rPr>
            </w:pPr>
            <w:r>
              <w:rPr>
                <w:rFonts w:hint="eastAsia" w:ascii="宋体" w:hAnsi="宋体"/>
                <w:kern w:val="0"/>
                <w:sz w:val="18"/>
                <w:szCs w:val="18"/>
              </w:rPr>
              <w:t>食品安全管理制度和应急预案是否健全、食品安全管控流程是否严密。需提供具体的制度、预案、流程。</w:t>
            </w:r>
          </w:p>
        </w:tc>
        <w:tc>
          <w:tcPr>
            <w:tcW w:w="652" w:type="dxa"/>
            <w:noWrap w:val="0"/>
            <w:vAlign w:val="center"/>
          </w:tcPr>
          <w:p>
            <w:pPr>
              <w:autoSpaceDE w:val="0"/>
              <w:autoSpaceDN w:val="0"/>
              <w:ind w:left="105" w:leftChars="50" w:right="105" w:rightChars="50"/>
              <w:jc w:val="center"/>
              <w:rPr>
                <w:rFonts w:hint="eastAsia" w:ascii="宋体" w:hAnsi="宋体" w:eastAsia="宋体" w:cs="微软雅黑"/>
                <w:color w:val="000000"/>
                <w:kern w:val="0"/>
                <w:sz w:val="18"/>
                <w:szCs w:val="18"/>
                <w:lang w:val="en-US" w:eastAsia="zh-CN"/>
              </w:rPr>
            </w:pPr>
            <w:r>
              <w:rPr>
                <w:rFonts w:hint="eastAsia" w:ascii="宋体" w:hAnsi="宋体" w:cs="微软雅黑"/>
                <w:color w:val="000000"/>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417" w:type="dxa"/>
          <w:trHeight w:val="932" w:hRule="atLeast"/>
        </w:trPr>
        <w:tc>
          <w:tcPr>
            <w:tcW w:w="744" w:type="dxa"/>
            <w:gridSpan w:val="2"/>
            <w:noWrap w:val="0"/>
            <w:vAlign w:val="center"/>
          </w:tcPr>
          <w:p>
            <w:pPr>
              <w:autoSpaceDE w:val="0"/>
              <w:autoSpaceDN w:val="0"/>
              <w:ind w:left="105" w:leftChars="50" w:right="105" w:rightChars="50"/>
              <w:jc w:val="center"/>
              <w:rPr>
                <w:rFonts w:hint="eastAsia" w:ascii="宋体" w:hAnsi="宋体" w:eastAsia="Times New Roman"/>
                <w:kern w:val="0"/>
                <w:sz w:val="18"/>
                <w:szCs w:val="18"/>
              </w:rPr>
            </w:pPr>
            <w:r>
              <w:rPr>
                <w:rFonts w:hint="eastAsia" w:ascii="宋体" w:hAnsi="宋体" w:eastAsia="Times New Roman"/>
                <w:kern w:val="0"/>
                <w:sz w:val="18"/>
                <w:szCs w:val="18"/>
              </w:rPr>
              <w:t>满分</w:t>
            </w:r>
          </w:p>
        </w:tc>
        <w:tc>
          <w:tcPr>
            <w:tcW w:w="1061" w:type="dxa"/>
            <w:noWrap w:val="0"/>
            <w:vAlign w:val="center"/>
          </w:tcPr>
          <w:p>
            <w:pPr>
              <w:topLinePunct/>
              <w:autoSpaceDE w:val="0"/>
              <w:autoSpaceDN w:val="0"/>
              <w:ind w:left="105" w:leftChars="50" w:right="105" w:rightChars="50"/>
              <w:jc w:val="center"/>
              <w:rPr>
                <w:rFonts w:hint="eastAsia" w:ascii="宋体" w:hAnsi="宋体" w:eastAsia="Times New Roman"/>
                <w:kern w:val="0"/>
                <w:sz w:val="18"/>
                <w:szCs w:val="18"/>
              </w:rPr>
            </w:pPr>
          </w:p>
        </w:tc>
        <w:tc>
          <w:tcPr>
            <w:tcW w:w="797" w:type="dxa"/>
            <w:noWrap w:val="0"/>
            <w:vAlign w:val="center"/>
          </w:tcPr>
          <w:p>
            <w:pPr>
              <w:autoSpaceDE w:val="0"/>
              <w:autoSpaceDN w:val="0"/>
              <w:ind w:left="105" w:leftChars="50" w:right="105" w:rightChars="50"/>
              <w:jc w:val="center"/>
              <w:rPr>
                <w:rFonts w:hint="eastAsia" w:ascii="宋体" w:hAnsi="宋体" w:eastAsia="Times New Roman" w:cs="宋体"/>
                <w:color w:val="000000"/>
                <w:kern w:val="0"/>
                <w:sz w:val="18"/>
                <w:szCs w:val="18"/>
              </w:rPr>
            </w:pPr>
          </w:p>
        </w:tc>
        <w:tc>
          <w:tcPr>
            <w:tcW w:w="5087" w:type="dxa"/>
            <w:noWrap w:val="0"/>
            <w:vAlign w:val="center"/>
          </w:tcPr>
          <w:p>
            <w:pPr>
              <w:topLinePunct/>
              <w:autoSpaceDE w:val="0"/>
              <w:autoSpaceDN w:val="0"/>
              <w:ind w:left="105" w:leftChars="50" w:right="105" w:rightChars="50"/>
              <w:jc w:val="center"/>
              <w:rPr>
                <w:rFonts w:hint="eastAsia" w:ascii="宋体" w:hAnsi="宋体" w:eastAsia="Times New Roman"/>
                <w:kern w:val="0"/>
                <w:sz w:val="18"/>
                <w:szCs w:val="18"/>
              </w:rPr>
            </w:pPr>
          </w:p>
        </w:tc>
        <w:tc>
          <w:tcPr>
            <w:tcW w:w="652" w:type="dxa"/>
            <w:noWrap w:val="0"/>
            <w:vAlign w:val="center"/>
          </w:tcPr>
          <w:p>
            <w:pPr>
              <w:autoSpaceDE w:val="0"/>
              <w:autoSpaceDN w:val="0"/>
              <w:ind w:left="105" w:leftChars="50" w:right="105" w:rightChars="50"/>
              <w:jc w:val="center"/>
              <w:rPr>
                <w:rFonts w:hint="eastAsia" w:ascii="宋体" w:hAnsi="宋体" w:cs="微软雅黑"/>
                <w:color w:val="000000"/>
                <w:kern w:val="0"/>
                <w:sz w:val="18"/>
                <w:szCs w:val="18"/>
              </w:rPr>
            </w:pPr>
            <w:r>
              <w:rPr>
                <w:rFonts w:hint="eastAsia" w:ascii="宋体" w:hAnsi="宋体" w:cs="微软雅黑"/>
                <w:color w:val="000000"/>
                <w:kern w:val="0"/>
                <w:sz w:val="18"/>
                <w:szCs w:val="18"/>
              </w:rPr>
              <w:t>100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仿宋" w:hAnsi="仿宋" w:eastAsia="仿宋" w:cs="仿宋"/>
          <w:i w:val="0"/>
          <w:iCs w:val="0"/>
          <w:caps w:val="0"/>
          <w:color w:val="333333"/>
          <w:spacing w:val="0"/>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（以下无正文）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仿宋" w:hAnsi="仿宋" w:eastAsia="仿宋" w:cs="仿宋"/>
          <w:i w:val="0"/>
          <w:iCs w:val="0"/>
          <w:caps w:val="0"/>
          <w:color w:val="333333"/>
          <w:spacing w:val="0"/>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jc w:val="right"/>
        <w:rPr>
          <w:rFonts w:hint="default" w:ascii="仿宋" w:hAnsi="仿宋" w:eastAsia="仿宋" w:cs="仿宋"/>
          <w:i w:val="0"/>
          <w:iCs w:val="0"/>
          <w:caps w:val="0"/>
          <w:color w:val="333333"/>
          <w:spacing w:val="0"/>
          <w:sz w:val="28"/>
          <w:szCs w:val="28"/>
          <w:shd w:val="clear" w:fill="FFFFFF"/>
          <w:lang w:val="en-US" w:eastAsia="zh-CN"/>
        </w:rPr>
      </w:pPr>
      <w:r>
        <w:rPr>
          <w:rFonts w:hint="eastAsia" w:ascii="仿宋" w:hAnsi="仿宋" w:eastAsia="仿宋" w:cs="仿宋"/>
          <w:i w:val="0"/>
          <w:iCs w:val="0"/>
          <w:caps w:val="0"/>
          <w:color w:val="333333"/>
          <w:spacing w:val="0"/>
          <w:sz w:val="28"/>
          <w:szCs w:val="28"/>
          <w:shd w:val="clear" w:fill="FFFFFF"/>
          <w:lang w:val="en-US" w:eastAsia="zh-CN"/>
        </w:rPr>
        <w:t>2023年8月13</w:t>
      </w:r>
      <w:bookmarkStart w:id="0" w:name="_GoBack"/>
      <w:bookmarkEnd w:id="0"/>
      <w:r>
        <w:rPr>
          <w:rFonts w:hint="eastAsia" w:ascii="仿宋" w:hAnsi="仿宋" w:eastAsia="仿宋" w:cs="仿宋"/>
          <w:i w:val="0"/>
          <w:iCs w:val="0"/>
          <w:caps w:val="0"/>
          <w:color w:val="333333"/>
          <w:spacing w:val="0"/>
          <w:sz w:val="28"/>
          <w:szCs w:val="28"/>
          <w:shd w:val="clear" w:fill="FFFFFF"/>
          <w:lang w:val="en-US"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xNmEzNmZjYzZmMmZmOWZkZmM5MDY2MmRhNjA2ZGQifQ=="/>
  </w:docVars>
  <w:rsids>
    <w:rsidRoot w:val="00000000"/>
    <w:rsid w:val="1DBF4D3E"/>
    <w:rsid w:val="228B2A13"/>
    <w:rsid w:val="252C2672"/>
    <w:rsid w:val="2A251905"/>
    <w:rsid w:val="383A0300"/>
    <w:rsid w:val="56C770C5"/>
    <w:rsid w:val="62B66BFD"/>
    <w:rsid w:val="66353B54"/>
    <w:rsid w:val="75C468A4"/>
    <w:rsid w:val="784D5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Arial Narrow" w:hAnsi="Arial Narrow" w:eastAsia="宋体" w:cs="Arial Narrow"/>
      <w:color w:val="000000"/>
      <w:sz w:val="24"/>
      <w:szCs w:val="24"/>
      <w:lang w:val="en-US" w:eastAsia="zh-CN" w:bidi="ar-SA"/>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2730</Words>
  <Characters>2925</Characters>
  <Lines>0</Lines>
  <Paragraphs>0</Paragraphs>
  <TotalTime>0</TotalTime>
  <ScaleCrop>false</ScaleCrop>
  <LinksUpToDate>false</LinksUpToDate>
  <CharactersWithSpaces>2934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2023-08-13T02:26:00Z</dcterms:created>
  <dc:creator>Admin</dc:creator>
  <cp:lastModifiedBy>陈亚桥ᵀᴳᵁ</cp:lastModifiedBy>
  <dcterms:modified xsi:type="dcterms:W3CDTF">2023-08-14T14:45:21Z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A5C9D9EB83A84EFD9E5AC9C9B7012805_13</vt:lpwstr>
  </property>
</Properties>
</file>